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DE332" w14:textId="14FEB619" w:rsidR="00471346" w:rsidRPr="002314BB" w:rsidRDefault="007F3214" w:rsidP="007F3214">
      <w:pPr>
        <w:pStyle w:val="Bezriadkovania"/>
        <w:jc w:val="right"/>
        <w:rPr>
          <w:rFonts w:cstheme="minorHAnsi"/>
        </w:rPr>
      </w:pPr>
      <w:r w:rsidRPr="002314BB">
        <w:rPr>
          <w:rFonts w:cstheme="minorHAnsi"/>
        </w:rPr>
        <w:t xml:space="preserve">Príloha č. </w:t>
      </w:r>
      <w:r w:rsidR="00355DAD">
        <w:rPr>
          <w:rFonts w:cstheme="minorHAnsi"/>
        </w:rPr>
        <w:t>5</w:t>
      </w:r>
      <w:r w:rsidRPr="002314BB">
        <w:rPr>
          <w:rFonts w:cstheme="minorHAnsi"/>
        </w:rPr>
        <w:t xml:space="preserve"> k</w:t>
      </w:r>
      <w:r w:rsidR="00061E57" w:rsidRPr="002314BB">
        <w:rPr>
          <w:rFonts w:cstheme="minorHAnsi"/>
        </w:rPr>
        <w:t> </w:t>
      </w:r>
      <w:r w:rsidRPr="002314BB">
        <w:rPr>
          <w:rFonts w:cstheme="minorHAnsi"/>
        </w:rPr>
        <w:t>metodike</w:t>
      </w:r>
    </w:p>
    <w:p w14:paraId="5761D06D" w14:textId="77777777" w:rsidR="00061E57" w:rsidRPr="002314BB" w:rsidRDefault="00061E57" w:rsidP="007F3214">
      <w:pPr>
        <w:pStyle w:val="Bezriadkovania"/>
        <w:jc w:val="right"/>
        <w:rPr>
          <w:rFonts w:cstheme="minorHAnsi"/>
        </w:rPr>
      </w:pPr>
    </w:p>
    <w:p w14:paraId="5E85C894" w14:textId="7A5753E9" w:rsidR="00061E57" w:rsidRPr="002314BB" w:rsidRDefault="00061E57" w:rsidP="00061E57">
      <w:pPr>
        <w:pBdr>
          <w:bottom w:val="single" w:sz="4" w:space="1" w:color="auto"/>
        </w:pBdr>
        <w:spacing w:line="240" w:lineRule="auto"/>
        <w:jc w:val="center"/>
        <w:rPr>
          <w:rFonts w:cstheme="minorHAnsi"/>
          <w:b/>
          <w:sz w:val="28"/>
          <w:szCs w:val="20"/>
        </w:rPr>
      </w:pPr>
      <w:r w:rsidRPr="002314BB">
        <w:rPr>
          <w:rFonts w:cstheme="minorHAnsi"/>
          <w:b/>
          <w:sz w:val="28"/>
          <w:szCs w:val="20"/>
        </w:rPr>
        <w:t>ZOZNAM MERATEĽNÝCH UKAZOVATEĽOV PROJEKTOV</w:t>
      </w:r>
      <w:bookmarkStart w:id="0" w:name="_GoBack"/>
      <w:bookmarkEnd w:id="0"/>
    </w:p>
    <w:p w14:paraId="4D6CAD95" w14:textId="77777777" w:rsidR="00061E57" w:rsidRPr="002314BB" w:rsidRDefault="00061E57" w:rsidP="00061E57">
      <w:pPr>
        <w:pStyle w:val="Bezriadkovania"/>
        <w:rPr>
          <w:rFonts w:cstheme="minorHAnsi"/>
        </w:rPr>
      </w:pPr>
    </w:p>
    <w:p w14:paraId="5D4C0279" w14:textId="77777777" w:rsidR="00061E57" w:rsidRPr="002314BB" w:rsidRDefault="00061E57" w:rsidP="00061E57">
      <w:pPr>
        <w:spacing w:line="276" w:lineRule="auto"/>
        <w:jc w:val="both"/>
        <w:rPr>
          <w:rFonts w:cstheme="minorHAnsi"/>
        </w:rPr>
      </w:pPr>
      <w:r w:rsidRPr="002314BB">
        <w:rPr>
          <w:rFonts w:cstheme="minorHAnsi"/>
        </w:rPr>
        <w:t>Merateľné ukazovatele žiadostí o poskytnutie regionálneho príspevku (ďalej len „žiadosť“) sú usporiadané do dvoch skupín:</w:t>
      </w:r>
    </w:p>
    <w:p w14:paraId="4807B186" w14:textId="77777777" w:rsidR="00061E57" w:rsidRPr="002314BB" w:rsidRDefault="00CF1844" w:rsidP="00061E57">
      <w:pPr>
        <w:pStyle w:val="Odsekzoznamu"/>
        <w:numPr>
          <w:ilvl w:val="0"/>
          <w:numId w:val="1"/>
        </w:numPr>
        <w:spacing w:line="276" w:lineRule="auto"/>
        <w:jc w:val="both"/>
        <w:rPr>
          <w:rFonts w:cstheme="minorHAnsi"/>
        </w:rPr>
      </w:pPr>
      <w:r w:rsidRPr="002314BB">
        <w:rPr>
          <w:rFonts w:cstheme="minorHAnsi"/>
        </w:rPr>
        <w:t>povinné</w:t>
      </w:r>
      <w:r w:rsidR="00061E57" w:rsidRPr="002314BB">
        <w:rPr>
          <w:rFonts w:cstheme="minorHAnsi"/>
        </w:rPr>
        <w:t xml:space="preserve"> </w:t>
      </w:r>
      <w:r w:rsidRPr="002314BB">
        <w:rPr>
          <w:rFonts w:cstheme="minorHAnsi"/>
        </w:rPr>
        <w:t>merateľné ukazovatele</w:t>
      </w:r>
      <w:r w:rsidR="00061E57" w:rsidRPr="002314BB">
        <w:rPr>
          <w:rFonts w:cstheme="minorHAnsi"/>
        </w:rPr>
        <w:t>,</w:t>
      </w:r>
    </w:p>
    <w:p w14:paraId="6A324C27" w14:textId="036FDCE7" w:rsidR="00061E57" w:rsidRPr="002314BB" w:rsidRDefault="00061E57" w:rsidP="00FB5C2D">
      <w:pPr>
        <w:pStyle w:val="Odsekzoznamu"/>
        <w:numPr>
          <w:ilvl w:val="0"/>
          <w:numId w:val="1"/>
        </w:numPr>
        <w:spacing w:line="276" w:lineRule="auto"/>
        <w:ind w:left="714" w:hanging="357"/>
        <w:contextualSpacing w:val="0"/>
        <w:jc w:val="both"/>
        <w:rPr>
          <w:rFonts w:cstheme="minorHAnsi"/>
        </w:rPr>
      </w:pPr>
      <w:r w:rsidRPr="002314BB">
        <w:rPr>
          <w:rFonts w:cstheme="minorHAnsi"/>
        </w:rPr>
        <w:t xml:space="preserve">voliteľné merateľné ukazovatele. </w:t>
      </w:r>
    </w:p>
    <w:p w14:paraId="4FF450B9" w14:textId="66CC9E40" w:rsidR="00C85C7A" w:rsidRPr="00A8473D" w:rsidRDefault="0067101C" w:rsidP="00FB5C2D">
      <w:pPr>
        <w:pStyle w:val="Odsekzoznamu"/>
        <w:spacing w:after="0" w:line="276" w:lineRule="auto"/>
        <w:ind w:left="0"/>
        <w:jc w:val="both"/>
      </w:pPr>
      <w:r w:rsidRPr="002314BB">
        <w:rPr>
          <w:rFonts w:cstheme="minorHAnsi"/>
        </w:rPr>
        <w:t xml:space="preserve">Žiadateľ je povinný </w:t>
      </w:r>
      <w:r w:rsidR="00A8473D">
        <w:rPr>
          <w:rFonts w:cstheme="minorHAnsi"/>
        </w:rPr>
        <w:t xml:space="preserve">v žiadosti </w:t>
      </w:r>
      <w:r w:rsidRPr="002314BB">
        <w:rPr>
          <w:rFonts w:cstheme="minorHAnsi"/>
        </w:rPr>
        <w:t>zadefinovať minimálne 1 merateľný ukazovateľ</w:t>
      </w:r>
      <w:r w:rsidR="00A8473D">
        <w:rPr>
          <w:rFonts w:cstheme="minorHAnsi"/>
        </w:rPr>
        <w:t xml:space="preserve"> (ďalej len „MU“), p</w:t>
      </w:r>
      <w:r w:rsidRPr="002314BB">
        <w:rPr>
          <w:rFonts w:cstheme="minorHAnsi"/>
        </w:rPr>
        <w:t xml:space="preserve">rioritne z 1. skupiny. </w:t>
      </w:r>
    </w:p>
    <w:p w14:paraId="6D22B989" w14:textId="77777777" w:rsidR="00A8473D" w:rsidRDefault="00A8473D" w:rsidP="00A8473D">
      <w:pPr>
        <w:pStyle w:val="Bezriadkovania"/>
        <w:spacing w:after="240"/>
        <w:ind w:left="284"/>
        <w:jc w:val="both"/>
        <w:rPr>
          <w:rFonts w:cstheme="minorHAnsi"/>
          <w:highlight w:val="yellow"/>
        </w:rPr>
      </w:pPr>
    </w:p>
    <w:p w14:paraId="73E42D58" w14:textId="6B349E1E" w:rsidR="00CF1844" w:rsidRPr="004A1CCB" w:rsidRDefault="00A8473D" w:rsidP="00A8473D">
      <w:pPr>
        <w:pStyle w:val="Bezriadkovania"/>
        <w:spacing w:after="240"/>
        <w:jc w:val="both"/>
        <w:rPr>
          <w:rFonts w:cstheme="minorHAnsi"/>
          <w:b/>
        </w:rPr>
      </w:pPr>
      <w:r w:rsidRPr="004A1CCB">
        <w:rPr>
          <w:rFonts w:cstheme="minorHAnsi"/>
          <w:b/>
        </w:rPr>
        <w:t>P</w:t>
      </w:r>
      <w:r w:rsidR="00A020C2" w:rsidRPr="004A1CCB">
        <w:rPr>
          <w:rFonts w:cstheme="minorHAnsi"/>
          <w:b/>
        </w:rPr>
        <w:t>lneni</w:t>
      </w:r>
      <w:r w:rsidRPr="004A1CCB">
        <w:rPr>
          <w:rFonts w:cstheme="minorHAnsi"/>
          <w:b/>
        </w:rPr>
        <w:t>e</w:t>
      </w:r>
      <w:r w:rsidR="00A020C2" w:rsidRPr="004A1CCB">
        <w:rPr>
          <w:rFonts w:cstheme="minorHAnsi"/>
          <w:b/>
        </w:rPr>
        <w:t xml:space="preserve"> merateľných ukazovateľov</w:t>
      </w:r>
      <w:r w:rsidRPr="004A1CCB">
        <w:rPr>
          <w:rFonts w:cstheme="minorHAnsi"/>
          <w:b/>
        </w:rPr>
        <w:t>:</w:t>
      </w:r>
      <w:r w:rsidR="00A020C2" w:rsidRPr="004A1CCB">
        <w:rPr>
          <w:rFonts w:cstheme="minorHAnsi"/>
          <w:b/>
        </w:rPr>
        <w:t xml:space="preserve"> </w:t>
      </w:r>
    </w:p>
    <w:p w14:paraId="5B95FBBB" w14:textId="22665AF7" w:rsidR="00A8473D" w:rsidRPr="00777AAF" w:rsidRDefault="00A8473D" w:rsidP="00A8473D">
      <w:pPr>
        <w:spacing w:line="276" w:lineRule="auto"/>
        <w:jc w:val="both"/>
        <w:rPr>
          <w:rFonts w:eastAsia="Times New Roman" w:cstheme="minorHAnsi"/>
          <w:lang w:eastAsia="sk-SK"/>
        </w:rPr>
      </w:pPr>
      <w:r w:rsidRPr="00777AAF">
        <w:rPr>
          <w:rFonts w:eastAsia="Times New Roman" w:cstheme="minorHAnsi"/>
          <w:lang w:eastAsia="sk-SK"/>
        </w:rPr>
        <w:t xml:space="preserve">Nastavenie hodnôt merateľných ukazovateľov v žiadosti je potrebné nastaviť primerane a reálne na výšku žiadaného regionálneho príspevku (ďalej len „RP“), s ohľadom na aktivity projektu a časový harmonogram realizácie projektu. </w:t>
      </w:r>
    </w:p>
    <w:p w14:paraId="726DD0C1" w14:textId="3C6BC8F8" w:rsidR="00A8473D" w:rsidRPr="00777AAF" w:rsidRDefault="00A8473D" w:rsidP="00A8473D">
      <w:pPr>
        <w:spacing w:line="276" w:lineRule="auto"/>
        <w:jc w:val="both"/>
        <w:rPr>
          <w:rFonts w:cstheme="minorHAnsi"/>
          <w:szCs w:val="20"/>
        </w:rPr>
      </w:pPr>
      <w:r w:rsidRPr="00777AAF">
        <w:rPr>
          <w:rFonts w:eastAsia="Times New Roman" w:cstheme="minorHAnsi"/>
          <w:lang w:eastAsia="sk-SK"/>
        </w:rPr>
        <w:t>O</w:t>
      </w:r>
      <w:r w:rsidRPr="00777AAF">
        <w:rPr>
          <w:rFonts w:cstheme="minorHAnsi"/>
          <w:szCs w:val="20"/>
        </w:rPr>
        <w:t>dhad cieľovej hodnoty sa stanoví k dátumu ukončenia realizácie aktivít projektu.</w:t>
      </w:r>
    </w:p>
    <w:p w14:paraId="17DB7065" w14:textId="58F38FA2" w:rsidR="00295280" w:rsidRPr="00777AAF" w:rsidRDefault="00295280" w:rsidP="00A8473D">
      <w:pPr>
        <w:spacing w:line="276" w:lineRule="auto"/>
        <w:jc w:val="both"/>
        <w:rPr>
          <w:rFonts w:cstheme="minorHAnsi"/>
          <w:szCs w:val="20"/>
        </w:rPr>
      </w:pPr>
      <w:r w:rsidRPr="00777AAF">
        <w:rPr>
          <w:rFonts w:cstheme="minorHAnsi"/>
          <w:szCs w:val="20"/>
        </w:rPr>
        <w:t>MU</w:t>
      </w:r>
      <w:r w:rsidR="00777AAF" w:rsidRPr="00777AAF">
        <w:rPr>
          <w:rFonts w:cstheme="minorHAnsi"/>
          <w:szCs w:val="20"/>
        </w:rPr>
        <w:t xml:space="preserve"> stanovené v zmluve o poskytnutí regionálneho príspevku (ďalej len „zmluva“) </w:t>
      </w:r>
      <w:r w:rsidRPr="00777AAF">
        <w:rPr>
          <w:rFonts w:cstheme="minorHAnsi"/>
          <w:szCs w:val="20"/>
        </w:rPr>
        <w:t xml:space="preserve"> musia byť naplnené k termínu ukončenia projektu. </w:t>
      </w:r>
    </w:p>
    <w:p w14:paraId="65AE23AD" w14:textId="47418F86" w:rsidR="00F0334F" w:rsidRPr="002314BB" w:rsidRDefault="00F0334F">
      <w:pPr>
        <w:rPr>
          <w:rFonts w:cstheme="minorHAnsi"/>
        </w:rPr>
      </w:pPr>
      <w:r w:rsidRPr="002314BB">
        <w:rPr>
          <w:rFonts w:cstheme="minorHAnsi"/>
        </w:rPr>
        <w:br w:type="page"/>
      </w:r>
    </w:p>
    <w:p w14:paraId="5BBB5E74" w14:textId="77777777" w:rsidR="00CF1844" w:rsidRPr="002314BB" w:rsidRDefault="00CF1844" w:rsidP="00CF1844">
      <w:pPr>
        <w:pStyle w:val="Bezriadkovania"/>
        <w:numPr>
          <w:ilvl w:val="0"/>
          <w:numId w:val="2"/>
        </w:numPr>
        <w:jc w:val="center"/>
        <w:rPr>
          <w:rFonts w:cstheme="minorHAnsi"/>
          <w:b/>
        </w:rPr>
      </w:pPr>
      <w:r w:rsidRPr="002314BB">
        <w:rPr>
          <w:rFonts w:cstheme="minorHAnsi"/>
          <w:b/>
        </w:rPr>
        <w:lastRenderedPageBreak/>
        <w:t>POVINNÉ MERATEĽNÉ UKAZOVATELE</w:t>
      </w:r>
    </w:p>
    <w:p w14:paraId="707534B4" w14:textId="4C873A6B" w:rsidR="00CF1844" w:rsidRPr="002314BB" w:rsidRDefault="00CF1844" w:rsidP="00CF1844">
      <w:pPr>
        <w:spacing w:before="120" w:line="276" w:lineRule="auto"/>
        <w:jc w:val="both"/>
        <w:rPr>
          <w:rFonts w:eastAsia="Times New Roman" w:cstheme="minorHAnsi"/>
          <w:lang w:eastAsia="sk-SK"/>
        </w:rPr>
      </w:pPr>
      <w:r w:rsidRPr="002314BB">
        <w:rPr>
          <w:rFonts w:eastAsia="Times New Roman" w:cstheme="minorHAnsi"/>
          <w:lang w:eastAsia="sk-SK"/>
        </w:rPr>
        <w:t xml:space="preserve">Žiadateľ v časti </w:t>
      </w:r>
      <w:r w:rsidR="00A96D66" w:rsidRPr="002314BB">
        <w:rPr>
          <w:rFonts w:eastAsia="Times New Roman" w:cstheme="minorHAnsi"/>
          <w:lang w:eastAsia="sk-SK"/>
        </w:rPr>
        <w:t>4</w:t>
      </w:r>
      <w:r w:rsidRPr="002314BB">
        <w:rPr>
          <w:rFonts w:eastAsia="Times New Roman" w:cstheme="minorHAnsi"/>
          <w:lang w:eastAsia="sk-SK"/>
        </w:rPr>
        <w:t>.A formulára žiadosti</w:t>
      </w:r>
      <w:r w:rsidRPr="002314BB">
        <w:rPr>
          <w:rFonts w:cstheme="minorHAnsi"/>
        </w:rPr>
        <w:t xml:space="preserve"> </w:t>
      </w:r>
      <w:r w:rsidRPr="002314BB">
        <w:rPr>
          <w:rFonts w:eastAsia="Times New Roman" w:cstheme="minorHAnsi"/>
          <w:lang w:eastAsia="sk-SK"/>
        </w:rPr>
        <w:t>uvedie k</w:t>
      </w:r>
      <w:r w:rsidR="004A1CCB">
        <w:rPr>
          <w:rFonts w:eastAsia="Times New Roman" w:cstheme="minorHAnsi"/>
          <w:lang w:eastAsia="sk-SK"/>
        </w:rPr>
        <w:t> </w:t>
      </w:r>
      <w:r w:rsidR="00A8473D">
        <w:rPr>
          <w:rFonts w:eastAsia="Times New Roman" w:cstheme="minorHAnsi"/>
          <w:lang w:eastAsia="sk-SK"/>
        </w:rPr>
        <w:t>MU</w:t>
      </w:r>
      <w:r w:rsidR="004A1CCB">
        <w:rPr>
          <w:rFonts w:eastAsia="Times New Roman" w:cstheme="minorHAnsi"/>
          <w:lang w:eastAsia="sk-SK"/>
        </w:rPr>
        <w:t xml:space="preserve"> </w:t>
      </w:r>
      <w:r w:rsidRPr="002314BB">
        <w:rPr>
          <w:rFonts w:eastAsia="Times New Roman" w:cstheme="minorHAnsi"/>
          <w:lang w:eastAsia="sk-SK"/>
        </w:rPr>
        <w:t xml:space="preserve">počiatočný stav ukazovateľa a plánovanú </w:t>
      </w:r>
      <w:r w:rsidRPr="002314BB">
        <w:rPr>
          <w:rFonts w:cstheme="minorHAnsi"/>
        </w:rPr>
        <w:t>cieľovú hodnotu ukazovateľa k dátumu ukončenia realizácie aktivít projektu</w:t>
      </w:r>
      <w:r w:rsidRPr="002314BB">
        <w:rPr>
          <w:rFonts w:eastAsia="Times New Roman" w:cstheme="minorHAnsi"/>
          <w:lang w:eastAsia="sk-SK"/>
        </w:rPr>
        <w:t>.</w:t>
      </w:r>
    </w:p>
    <w:tbl>
      <w:tblPr>
        <w:tblStyle w:val="Mriekatabuky"/>
        <w:tblW w:w="14019" w:type="dxa"/>
        <w:tblLook w:val="04A0" w:firstRow="1" w:lastRow="0" w:firstColumn="1" w:lastColumn="0" w:noHBand="0" w:noVBand="1"/>
      </w:tblPr>
      <w:tblGrid>
        <w:gridCol w:w="3671"/>
        <w:gridCol w:w="1134"/>
        <w:gridCol w:w="9214"/>
      </w:tblGrid>
      <w:tr w:rsidR="00CF1844" w:rsidRPr="002314BB" w14:paraId="532CC6A1" w14:textId="77777777" w:rsidTr="00975F5B">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5B73D460" w14:textId="77777777" w:rsidR="00CF1844" w:rsidRPr="002314BB" w:rsidRDefault="00CF1844" w:rsidP="00975F5B">
            <w:pPr>
              <w:ind w:right="-103"/>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05A751CD" w14:textId="77777777" w:rsidR="00CF1844" w:rsidRPr="002314BB" w:rsidRDefault="00CF1844" w:rsidP="00CF1844">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7EF9E0AA" w14:textId="77777777" w:rsidR="00CF1844" w:rsidRPr="002314BB" w:rsidRDefault="00CF1844" w:rsidP="00CF1844">
            <w:pPr>
              <w:jc w:val="center"/>
              <w:rPr>
                <w:rFonts w:eastAsia="Times New Roman" w:cstheme="minorHAnsi"/>
                <w:b/>
                <w:bCs/>
                <w:lang w:eastAsia="sk-SK"/>
              </w:rPr>
            </w:pPr>
            <w:r w:rsidRPr="002314BB">
              <w:rPr>
                <w:rFonts w:eastAsia="Times New Roman" w:cstheme="minorHAnsi"/>
                <w:b/>
                <w:bCs/>
                <w:lang w:eastAsia="sk-SK"/>
              </w:rPr>
              <w:t>Vysvetlivka</w:t>
            </w:r>
          </w:p>
        </w:tc>
      </w:tr>
      <w:tr w:rsidR="0064281E" w:rsidRPr="002314BB" w14:paraId="32977D89" w14:textId="77777777" w:rsidTr="00975F5B">
        <w:tc>
          <w:tcPr>
            <w:tcW w:w="3671" w:type="dxa"/>
            <w:tcBorders>
              <w:top w:val="single" w:sz="12" w:space="0" w:color="auto"/>
              <w:left w:val="single" w:sz="12" w:space="0" w:color="auto"/>
              <w:bottom w:val="single" w:sz="4" w:space="0" w:color="auto"/>
            </w:tcBorders>
            <w:vAlign w:val="center"/>
          </w:tcPr>
          <w:p w14:paraId="610159A6" w14:textId="77777777" w:rsidR="00C15565" w:rsidRPr="002314BB" w:rsidRDefault="0064281E" w:rsidP="00975F5B">
            <w:pPr>
              <w:rPr>
                <w:rFonts w:eastAsia="Times New Roman" w:cstheme="minorHAnsi"/>
                <w:b/>
                <w:bCs/>
                <w:lang w:eastAsia="sk-SK"/>
              </w:rPr>
            </w:pPr>
            <w:r w:rsidRPr="002314BB">
              <w:rPr>
                <w:rFonts w:eastAsia="Times New Roman" w:cstheme="minorHAnsi"/>
                <w:b/>
                <w:bCs/>
                <w:lang w:eastAsia="sk-SK"/>
              </w:rPr>
              <w:t>Počet priamo podporených pracovných miest</w:t>
            </w:r>
            <w:r w:rsidR="00017B25" w:rsidRPr="002314BB">
              <w:rPr>
                <w:rFonts w:eastAsia="Times New Roman" w:cstheme="minorHAnsi"/>
                <w:b/>
                <w:bCs/>
                <w:lang w:eastAsia="sk-SK"/>
              </w:rPr>
              <w:t>:</w:t>
            </w:r>
            <w:r w:rsidR="00840FA1" w:rsidRPr="002314BB">
              <w:rPr>
                <w:rFonts w:eastAsia="Times New Roman" w:cstheme="minorHAnsi"/>
                <w:b/>
                <w:bCs/>
                <w:lang w:eastAsia="sk-SK"/>
              </w:rPr>
              <w:t xml:space="preserve"> </w:t>
            </w:r>
          </w:p>
          <w:p w14:paraId="507400C3" w14:textId="77777777" w:rsidR="00C15565" w:rsidRPr="002314BB" w:rsidRDefault="00C15565" w:rsidP="00975F5B">
            <w:pPr>
              <w:rPr>
                <w:rFonts w:eastAsia="Times New Roman" w:cstheme="minorHAnsi"/>
                <w:b/>
                <w:bCs/>
                <w:lang w:eastAsia="sk-SK"/>
              </w:rPr>
            </w:pPr>
          </w:p>
          <w:p w14:paraId="77CCE57A" w14:textId="14BD617B" w:rsidR="0064281E" w:rsidRPr="002314BB" w:rsidRDefault="006A33D8" w:rsidP="00975F5B">
            <w:pPr>
              <w:rPr>
                <w:rFonts w:eastAsia="Times New Roman" w:cstheme="minorHAnsi"/>
                <w:b/>
                <w:bCs/>
                <w:lang w:eastAsia="sk-SK"/>
              </w:rPr>
            </w:pPr>
            <w:r w:rsidRPr="002314BB">
              <w:rPr>
                <w:rFonts w:eastAsia="Times New Roman" w:cstheme="minorHAnsi"/>
                <w:bCs/>
                <w:i/>
                <w:lang w:eastAsia="sk-SK"/>
              </w:rPr>
              <w:t>U</w:t>
            </w:r>
            <w:r w:rsidR="00840FA1" w:rsidRPr="002314BB">
              <w:rPr>
                <w:rFonts w:eastAsia="Times New Roman" w:cstheme="minorHAnsi"/>
                <w:bCs/>
                <w:i/>
                <w:lang w:eastAsia="sk-SK"/>
              </w:rPr>
              <w:t>chádzač o zamestnanie</w:t>
            </w:r>
            <w:r w:rsidR="00145BAC" w:rsidRPr="002314BB">
              <w:rPr>
                <w:rStyle w:val="Odkaznapoznmkupodiarou"/>
                <w:rFonts w:asciiTheme="minorHAnsi" w:eastAsia="Times New Roman" w:hAnsiTheme="minorHAnsi" w:cstheme="minorHAnsi"/>
                <w:bCs/>
                <w:i/>
                <w:lang w:eastAsia="sk-SK"/>
              </w:rPr>
              <w:footnoteReference w:id="1"/>
            </w:r>
          </w:p>
        </w:tc>
        <w:tc>
          <w:tcPr>
            <w:tcW w:w="1134" w:type="dxa"/>
            <w:tcBorders>
              <w:top w:val="single" w:sz="12" w:space="0" w:color="auto"/>
              <w:bottom w:val="single" w:sz="4" w:space="0" w:color="auto"/>
            </w:tcBorders>
            <w:vAlign w:val="center"/>
          </w:tcPr>
          <w:p w14:paraId="0A8C751B" w14:textId="01B23FA2" w:rsidR="0064281E" w:rsidRPr="002314BB" w:rsidRDefault="00894F00" w:rsidP="0064281E">
            <w:pPr>
              <w:jc w:val="center"/>
              <w:rPr>
                <w:rFonts w:eastAsia="Times New Roman" w:cstheme="minorHAnsi"/>
                <w:lang w:eastAsia="sk-SK"/>
              </w:rPr>
            </w:pPr>
            <w:r w:rsidRPr="002314BB">
              <w:rPr>
                <w:rFonts w:eastAsia="Times New Roman" w:cstheme="minorHAnsi"/>
                <w:lang w:eastAsia="sk-SK"/>
              </w:rPr>
              <w:t>p</w:t>
            </w:r>
            <w:r w:rsidR="0064281E" w:rsidRPr="002314BB">
              <w:rPr>
                <w:rFonts w:eastAsia="Times New Roman" w:cstheme="minorHAnsi"/>
                <w:lang w:eastAsia="sk-SK"/>
              </w:rPr>
              <w:t>očet</w:t>
            </w:r>
          </w:p>
        </w:tc>
        <w:tc>
          <w:tcPr>
            <w:tcW w:w="9214" w:type="dxa"/>
            <w:tcBorders>
              <w:top w:val="single" w:sz="12" w:space="0" w:color="auto"/>
              <w:bottom w:val="single" w:sz="4" w:space="0" w:color="auto"/>
              <w:right w:val="single" w:sz="12" w:space="0" w:color="auto"/>
            </w:tcBorders>
          </w:tcPr>
          <w:p w14:paraId="04BE8A7B" w14:textId="0CD4E335" w:rsidR="007D5E55" w:rsidRPr="002314BB" w:rsidRDefault="0064281E" w:rsidP="00C85C7A">
            <w:pPr>
              <w:pStyle w:val="Bezriadkovania"/>
              <w:jc w:val="both"/>
              <w:rPr>
                <w:rFonts w:cstheme="minorHAnsi"/>
                <w:highlight w:val="yellow"/>
              </w:rPr>
            </w:pPr>
            <w:r w:rsidRPr="002314BB">
              <w:rPr>
                <w:rFonts w:cstheme="minorHAnsi"/>
              </w:rPr>
              <w:t>Pracovné miesta, ktoré budú vytvorené realizáciou projektu a zachované počas minimálne 1 roka po</w:t>
            </w:r>
            <w:r w:rsidR="002314BB">
              <w:rPr>
                <w:rFonts w:cstheme="minorHAnsi"/>
              </w:rPr>
              <w:t> </w:t>
            </w:r>
            <w:r w:rsidRPr="002314BB">
              <w:rPr>
                <w:rFonts w:cstheme="minorHAnsi"/>
              </w:rPr>
              <w:t>jeho ukončení. V prípade podpory hospodárskej činnosti je povinné obdobie udržateľnosti pracovného miesta určené v príslušných schémach pomoci.</w:t>
            </w:r>
          </w:p>
          <w:p w14:paraId="6D216E83" w14:textId="69394384" w:rsidR="0001047C" w:rsidRPr="002314BB" w:rsidRDefault="0001047C" w:rsidP="0001047C">
            <w:pPr>
              <w:pStyle w:val="Bezriadkovania"/>
              <w:jc w:val="both"/>
              <w:rPr>
                <w:rFonts w:cstheme="minorHAnsi"/>
                <w:b/>
              </w:rPr>
            </w:pPr>
            <w:r w:rsidRPr="002314BB">
              <w:rPr>
                <w:rFonts w:cstheme="minorHAnsi"/>
              </w:rPr>
              <w:t xml:space="preserve">Ukazovateľ - počet ročne podporených pracovných miest </w:t>
            </w:r>
            <w:r w:rsidRPr="002314BB">
              <w:rPr>
                <w:rFonts w:eastAsia="Times New Roman" w:cstheme="minorHAnsi"/>
                <w:lang w:eastAsia="sk-SK"/>
              </w:rPr>
              <w:t>vyjadruje celkový počet vytvorených a</w:t>
            </w:r>
            <w:r w:rsidRPr="002314BB">
              <w:rPr>
                <w:rFonts w:cstheme="minorHAnsi"/>
              </w:rPr>
              <w:t> </w:t>
            </w:r>
            <w:r w:rsidRPr="002314BB">
              <w:rPr>
                <w:rFonts w:eastAsia="Times New Roman" w:cstheme="minorHAnsi"/>
                <w:lang w:eastAsia="sk-SK"/>
              </w:rPr>
              <w:t>obsadených pracovných miest v ekvivalentoch plných pracovných úväzkov (ďalej len „full time equivalent“ alebo „FTE“) zodpovedajúcich ročnému fondu pracovného času. Podporené pracovné miesta musia vzniknúť v priamej súvislosti s</w:t>
            </w:r>
            <w:r w:rsidRPr="002314BB">
              <w:rPr>
                <w:rFonts w:cstheme="minorHAnsi"/>
              </w:rPr>
              <w:t> </w:t>
            </w:r>
            <w:r w:rsidRPr="002314BB">
              <w:rPr>
                <w:rFonts w:eastAsia="Times New Roman" w:cstheme="minorHAnsi"/>
                <w:lang w:eastAsia="sk-SK"/>
              </w:rPr>
              <w:t>realizovaným podporeným projektom.</w:t>
            </w:r>
          </w:p>
          <w:p w14:paraId="38256766" w14:textId="2E04894B" w:rsidR="00C85C7A" w:rsidRPr="002314BB" w:rsidRDefault="00A0359E" w:rsidP="00C85C7A">
            <w:pPr>
              <w:pStyle w:val="Bezriadkovania"/>
              <w:jc w:val="both"/>
              <w:rPr>
                <w:rFonts w:eastAsia="Times New Roman" w:cstheme="minorHAnsi"/>
                <w:lang w:eastAsia="sk-SK"/>
              </w:rPr>
            </w:pPr>
            <w:r w:rsidRPr="002314BB">
              <w:rPr>
                <w:rFonts w:eastAsia="Times New Roman" w:cstheme="minorHAnsi"/>
                <w:lang w:eastAsia="sk-SK"/>
              </w:rPr>
              <w:t>MU je vyhodnotený prostredníctvom Prílohy č. 3, Príručky pre prijímateľa s názvom „Evidencia obsadzovania alebo preobsadzovania pracovných miest“.</w:t>
            </w:r>
          </w:p>
          <w:p w14:paraId="497542FB" w14:textId="08252AA8" w:rsidR="0064281E" w:rsidRPr="002314BB" w:rsidRDefault="0064281E" w:rsidP="00C85C7A">
            <w:pPr>
              <w:pStyle w:val="Bezriadkovania"/>
              <w:jc w:val="both"/>
              <w:rPr>
                <w:rFonts w:cstheme="minorHAnsi"/>
                <w:b/>
              </w:rPr>
            </w:pPr>
          </w:p>
        </w:tc>
      </w:tr>
      <w:tr w:rsidR="00145BAC" w:rsidRPr="002314BB" w14:paraId="78190274" w14:textId="77777777" w:rsidTr="00975F5B">
        <w:tc>
          <w:tcPr>
            <w:tcW w:w="3671" w:type="dxa"/>
            <w:tcBorders>
              <w:top w:val="single" w:sz="4" w:space="0" w:color="auto"/>
              <w:left w:val="single" w:sz="12" w:space="0" w:color="auto"/>
              <w:bottom w:val="single" w:sz="4" w:space="0" w:color="auto"/>
            </w:tcBorders>
            <w:vAlign w:val="center"/>
          </w:tcPr>
          <w:p w14:paraId="267E6FEE" w14:textId="77777777" w:rsidR="00C15565" w:rsidRPr="002314BB" w:rsidRDefault="00145BAC" w:rsidP="006A33D8">
            <w:pPr>
              <w:rPr>
                <w:rFonts w:eastAsia="Times New Roman" w:cstheme="minorHAnsi"/>
                <w:b/>
                <w:bCs/>
                <w:lang w:eastAsia="sk-SK"/>
              </w:rPr>
            </w:pPr>
            <w:r w:rsidRPr="002314BB">
              <w:rPr>
                <w:rFonts w:eastAsia="Times New Roman" w:cstheme="minorHAnsi"/>
                <w:b/>
                <w:bCs/>
                <w:lang w:eastAsia="sk-SK"/>
              </w:rPr>
              <w:t>Počet priamo podporených pracovných miest:</w:t>
            </w:r>
          </w:p>
          <w:p w14:paraId="62AD2E80" w14:textId="57DEBED2" w:rsidR="006A33D8" w:rsidRPr="002314BB" w:rsidRDefault="006A33D8" w:rsidP="006A33D8">
            <w:pPr>
              <w:rPr>
                <w:rFonts w:eastAsia="Times New Roman" w:cstheme="minorHAnsi"/>
                <w:b/>
                <w:bCs/>
                <w:lang w:eastAsia="sk-SK"/>
              </w:rPr>
            </w:pPr>
          </w:p>
          <w:p w14:paraId="2A2C4989" w14:textId="3E356983" w:rsidR="00145BAC" w:rsidRPr="002314BB" w:rsidRDefault="006A33D8" w:rsidP="006A33D8">
            <w:pPr>
              <w:rPr>
                <w:rFonts w:eastAsia="Times New Roman" w:cstheme="minorHAnsi"/>
                <w:bCs/>
                <w:i/>
                <w:lang w:eastAsia="sk-SK"/>
              </w:rPr>
            </w:pPr>
            <w:r w:rsidRPr="002314BB">
              <w:rPr>
                <w:rFonts w:eastAsia="Times New Roman" w:cstheme="minorHAnsi"/>
                <w:bCs/>
                <w:i/>
                <w:lang w:eastAsia="sk-SK"/>
              </w:rPr>
              <w:t>Z</w:t>
            </w:r>
            <w:r w:rsidR="00145BAC" w:rsidRPr="002314BB">
              <w:rPr>
                <w:rFonts w:eastAsia="Times New Roman" w:cstheme="minorHAnsi"/>
                <w:bCs/>
                <w:i/>
                <w:lang w:eastAsia="sk-SK"/>
              </w:rPr>
              <w:t>nevýhodnený uchádzač o zamestnanie</w:t>
            </w:r>
            <w:r w:rsidR="00145BAC" w:rsidRPr="002314BB">
              <w:rPr>
                <w:rStyle w:val="Odkaznapoznmkupodiarou"/>
                <w:rFonts w:asciiTheme="minorHAnsi" w:eastAsia="Times New Roman" w:hAnsiTheme="minorHAnsi" w:cstheme="minorHAnsi"/>
                <w:bCs/>
                <w:i/>
                <w:lang w:eastAsia="sk-SK"/>
              </w:rPr>
              <w:footnoteReference w:id="2"/>
            </w:r>
            <w:r w:rsidR="00145BAC" w:rsidRPr="002314BB">
              <w:rPr>
                <w:rFonts w:eastAsia="Times New Roman" w:cstheme="minorHAnsi"/>
                <w:bCs/>
                <w:i/>
                <w:lang w:eastAsia="sk-SK"/>
              </w:rPr>
              <w:t xml:space="preserve"> </w:t>
            </w:r>
          </w:p>
        </w:tc>
        <w:tc>
          <w:tcPr>
            <w:tcW w:w="1134" w:type="dxa"/>
            <w:tcBorders>
              <w:top w:val="single" w:sz="4" w:space="0" w:color="auto"/>
              <w:bottom w:val="single" w:sz="4" w:space="0" w:color="auto"/>
            </w:tcBorders>
            <w:vAlign w:val="center"/>
          </w:tcPr>
          <w:p w14:paraId="000DCE90" w14:textId="66BC7C0F" w:rsidR="00145BAC" w:rsidRPr="002314BB" w:rsidRDefault="00145BAC" w:rsidP="00145BAC">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tcPr>
          <w:p w14:paraId="67F04A60" w14:textId="475C7526" w:rsidR="00145BAC" w:rsidRPr="002314BB" w:rsidRDefault="00145BAC" w:rsidP="00145BAC">
            <w:pPr>
              <w:pStyle w:val="Bezriadkovania"/>
              <w:jc w:val="both"/>
              <w:rPr>
                <w:rFonts w:cstheme="minorHAnsi"/>
                <w:highlight w:val="yellow"/>
              </w:rPr>
            </w:pPr>
            <w:r w:rsidRPr="002314BB">
              <w:rPr>
                <w:rFonts w:cstheme="minorHAnsi"/>
              </w:rPr>
              <w:t>Pracovné miesta, ktoré budú vytvorené realizáciou projektu a zachované počas minimálne 1 roka po</w:t>
            </w:r>
            <w:r w:rsidR="002314BB">
              <w:rPr>
                <w:rFonts w:cstheme="minorHAnsi"/>
              </w:rPr>
              <w:t> </w:t>
            </w:r>
            <w:r w:rsidRPr="002314BB">
              <w:rPr>
                <w:rFonts w:cstheme="minorHAnsi"/>
              </w:rPr>
              <w:t>jeho ukončení. V prípade podpory hospodárskej činnosti je povinné obdobie udržateľnosti pracovného miesta určené v príslušných schémach pomoci.</w:t>
            </w:r>
          </w:p>
          <w:p w14:paraId="0862398B" w14:textId="77777777" w:rsidR="00145BAC" w:rsidRPr="002314BB" w:rsidRDefault="00145BAC" w:rsidP="00145BAC">
            <w:pPr>
              <w:pStyle w:val="Bezriadkovania"/>
              <w:jc w:val="both"/>
              <w:rPr>
                <w:rFonts w:cstheme="minorHAnsi"/>
                <w:highlight w:val="yellow"/>
              </w:rPr>
            </w:pPr>
          </w:p>
          <w:p w14:paraId="3B4635DB" w14:textId="77777777" w:rsidR="00145BAC" w:rsidRPr="002314BB" w:rsidRDefault="00145BAC" w:rsidP="00145BAC">
            <w:pPr>
              <w:pStyle w:val="Bezriadkovania"/>
              <w:jc w:val="both"/>
              <w:rPr>
                <w:rFonts w:cstheme="minorHAnsi"/>
                <w:b/>
              </w:rPr>
            </w:pPr>
            <w:r w:rsidRPr="002314BB">
              <w:rPr>
                <w:rFonts w:cstheme="minorHAnsi"/>
              </w:rPr>
              <w:t xml:space="preserve">Ukazovateľ - počet ročne podporených pracovných miest </w:t>
            </w:r>
            <w:r w:rsidRPr="002314BB">
              <w:rPr>
                <w:rFonts w:eastAsia="Times New Roman" w:cstheme="minorHAnsi"/>
                <w:lang w:eastAsia="sk-SK"/>
              </w:rPr>
              <w:t>vyjadruje celkový počet vytvorených a</w:t>
            </w:r>
            <w:r w:rsidRPr="002314BB">
              <w:rPr>
                <w:rFonts w:cstheme="minorHAnsi"/>
              </w:rPr>
              <w:t> </w:t>
            </w:r>
            <w:r w:rsidRPr="002314BB">
              <w:rPr>
                <w:rFonts w:eastAsia="Times New Roman" w:cstheme="minorHAnsi"/>
                <w:lang w:eastAsia="sk-SK"/>
              </w:rPr>
              <w:t>obsadených pracovných miest v ekvivalentoch plných pracovných úväzkov (ďalej len „full time equivalent“ alebo „FTE“) zodpovedajúcich ročnému fondu pracovného času. Podporené pracovné miesta musia vzniknúť v priamej súvislosti s</w:t>
            </w:r>
            <w:r w:rsidRPr="002314BB">
              <w:rPr>
                <w:rFonts w:cstheme="minorHAnsi"/>
              </w:rPr>
              <w:t> </w:t>
            </w:r>
            <w:r w:rsidRPr="002314BB">
              <w:rPr>
                <w:rFonts w:eastAsia="Times New Roman" w:cstheme="minorHAnsi"/>
                <w:lang w:eastAsia="sk-SK"/>
              </w:rPr>
              <w:t>realizovaným podporeným projektom.</w:t>
            </w:r>
          </w:p>
          <w:p w14:paraId="0F8CDA6B" w14:textId="77777777" w:rsidR="00145BAC" w:rsidRPr="002314BB" w:rsidRDefault="00145BAC" w:rsidP="00145BAC">
            <w:pPr>
              <w:pStyle w:val="Bezriadkovania"/>
              <w:jc w:val="both"/>
              <w:rPr>
                <w:rFonts w:eastAsia="Times New Roman" w:cstheme="minorHAnsi"/>
                <w:lang w:eastAsia="sk-SK"/>
              </w:rPr>
            </w:pPr>
            <w:r w:rsidRPr="002314BB">
              <w:rPr>
                <w:rFonts w:eastAsia="Times New Roman" w:cstheme="minorHAnsi"/>
                <w:lang w:eastAsia="sk-SK"/>
              </w:rPr>
              <w:t>MU je vyhodnotený prostredníctvom Prílohy č. 3, Príručky pre prijímateľa s názvom „Evidencia obsadzovania alebo preobsadzovania pracovných miest“.</w:t>
            </w:r>
          </w:p>
          <w:p w14:paraId="2CBA09DC" w14:textId="77777777" w:rsidR="00145BAC" w:rsidRPr="002314BB" w:rsidRDefault="00145BAC" w:rsidP="00145BAC">
            <w:pPr>
              <w:pStyle w:val="Bezriadkovania"/>
              <w:jc w:val="both"/>
              <w:rPr>
                <w:rFonts w:cstheme="minorHAnsi"/>
              </w:rPr>
            </w:pPr>
          </w:p>
        </w:tc>
      </w:tr>
    </w:tbl>
    <w:p w14:paraId="1A0B8D92" w14:textId="2A77FD37" w:rsidR="00604F9B" w:rsidRDefault="00604F9B" w:rsidP="0013752A">
      <w:pPr>
        <w:rPr>
          <w:rFonts w:cstheme="minorHAnsi"/>
        </w:rPr>
      </w:pPr>
    </w:p>
    <w:p w14:paraId="5839DDFA" w14:textId="77777777" w:rsidR="001D75EB" w:rsidRPr="002314BB" w:rsidRDefault="001D75EB" w:rsidP="0013752A">
      <w:pPr>
        <w:rPr>
          <w:rFonts w:cstheme="minorHAnsi"/>
        </w:rPr>
      </w:pPr>
    </w:p>
    <w:p w14:paraId="39618D54" w14:textId="6F3CDB7A" w:rsidR="0001047C" w:rsidRPr="002314BB" w:rsidRDefault="0001047C" w:rsidP="0001047C">
      <w:pPr>
        <w:pStyle w:val="Bezriadkovania"/>
        <w:numPr>
          <w:ilvl w:val="0"/>
          <w:numId w:val="2"/>
        </w:numPr>
        <w:jc w:val="center"/>
        <w:rPr>
          <w:rFonts w:cstheme="minorHAnsi"/>
          <w:b/>
        </w:rPr>
      </w:pPr>
      <w:r w:rsidRPr="002314BB">
        <w:rPr>
          <w:rFonts w:cstheme="minorHAnsi"/>
          <w:b/>
        </w:rPr>
        <w:t>VOLITEĽNÉ MERATEĽNÉ UKAZOVATELE</w:t>
      </w:r>
      <w:r w:rsidR="00C77733" w:rsidRPr="002314BB">
        <w:rPr>
          <w:rFonts w:cstheme="minorHAnsi"/>
          <w:b/>
        </w:rPr>
        <w:t xml:space="preserve"> </w:t>
      </w:r>
    </w:p>
    <w:p w14:paraId="20148C58" w14:textId="77777777" w:rsidR="0001047C" w:rsidRPr="002314BB" w:rsidRDefault="0001047C" w:rsidP="0001047C">
      <w:pPr>
        <w:pStyle w:val="Bezriadkovania"/>
        <w:ind w:left="720"/>
        <w:rPr>
          <w:rFonts w:cstheme="minorHAnsi"/>
          <w:b/>
        </w:rPr>
      </w:pPr>
    </w:p>
    <w:p w14:paraId="7E811723" w14:textId="167450C8" w:rsidR="0001047C" w:rsidRPr="002314BB" w:rsidRDefault="00773E65" w:rsidP="0013752A">
      <w:pPr>
        <w:pStyle w:val="Bezriadkovania"/>
        <w:spacing w:line="276" w:lineRule="auto"/>
        <w:jc w:val="both"/>
        <w:rPr>
          <w:rFonts w:eastAsia="Times New Roman" w:cstheme="minorHAnsi"/>
          <w:szCs w:val="20"/>
          <w:lang w:eastAsia="sk-SK"/>
        </w:rPr>
      </w:pPr>
      <w:r w:rsidRPr="002314BB">
        <w:rPr>
          <w:rFonts w:eastAsia="Times New Roman" w:cstheme="minorHAnsi"/>
          <w:szCs w:val="20"/>
          <w:lang w:eastAsia="sk-SK"/>
        </w:rPr>
        <w:t>Žiadateľ</w:t>
      </w:r>
      <w:r w:rsidR="0001047C" w:rsidRPr="002314BB">
        <w:rPr>
          <w:rFonts w:eastAsia="Times New Roman" w:cstheme="minorHAnsi"/>
          <w:szCs w:val="20"/>
          <w:lang w:eastAsia="sk-SK"/>
        </w:rPr>
        <w:t xml:space="preserve"> v časti </w:t>
      </w:r>
      <w:r w:rsidR="0013752A" w:rsidRPr="002314BB">
        <w:rPr>
          <w:rFonts w:eastAsia="Times New Roman" w:cstheme="minorHAnsi"/>
          <w:szCs w:val="20"/>
          <w:lang w:eastAsia="sk-SK"/>
        </w:rPr>
        <w:t>4</w:t>
      </w:r>
      <w:r w:rsidR="0001047C" w:rsidRPr="002314BB">
        <w:rPr>
          <w:rFonts w:eastAsia="Times New Roman" w:cstheme="minorHAnsi"/>
          <w:szCs w:val="20"/>
          <w:lang w:eastAsia="sk-SK"/>
        </w:rPr>
        <w:t>.B formulára žiadosti uvedie</w:t>
      </w:r>
      <w:r w:rsidR="0001047C" w:rsidRPr="002314BB">
        <w:rPr>
          <w:rFonts w:cstheme="minorHAnsi"/>
          <w:szCs w:val="20"/>
        </w:rPr>
        <w:t xml:space="preserve"> tie </w:t>
      </w:r>
      <w:r w:rsidR="00D2389B">
        <w:rPr>
          <w:rFonts w:cstheme="minorHAnsi"/>
          <w:szCs w:val="20"/>
        </w:rPr>
        <w:t>MU</w:t>
      </w:r>
      <w:r w:rsidRPr="002314BB">
        <w:rPr>
          <w:rFonts w:cstheme="minorHAnsi"/>
          <w:szCs w:val="20"/>
        </w:rPr>
        <w:t>, ktorých plnenie vyplýva z </w:t>
      </w:r>
      <w:r w:rsidR="0001047C" w:rsidRPr="002314BB">
        <w:rPr>
          <w:rFonts w:cstheme="minorHAnsi"/>
          <w:szCs w:val="20"/>
        </w:rPr>
        <w:t xml:space="preserve">charakteru projektu a popisu uvedeného v predloženej </w:t>
      </w:r>
      <w:r w:rsidR="0001047C" w:rsidRPr="002314BB">
        <w:rPr>
          <w:rFonts w:eastAsia="Times New Roman" w:cstheme="minorHAnsi"/>
          <w:szCs w:val="20"/>
          <w:lang w:eastAsia="sk-SK"/>
        </w:rPr>
        <w:t>žiadosti</w:t>
      </w:r>
      <w:r w:rsidR="0001047C" w:rsidRPr="002314BB">
        <w:rPr>
          <w:rFonts w:cstheme="minorHAnsi"/>
          <w:szCs w:val="20"/>
        </w:rPr>
        <w:t xml:space="preserve">. </w:t>
      </w:r>
      <w:r w:rsidR="00B42359" w:rsidRPr="002314BB">
        <w:rPr>
          <w:rFonts w:cstheme="minorHAnsi"/>
          <w:szCs w:val="20"/>
        </w:rPr>
        <w:t xml:space="preserve">Žiadateľ si môže vybrať ľubovoľný počet MU. </w:t>
      </w:r>
      <w:r w:rsidR="0001047C" w:rsidRPr="002314BB">
        <w:rPr>
          <w:rFonts w:cstheme="minorHAnsi"/>
          <w:szCs w:val="20"/>
        </w:rPr>
        <w:t>Pre každý</w:t>
      </w:r>
      <w:r w:rsidRPr="002314BB">
        <w:rPr>
          <w:rFonts w:cstheme="minorHAnsi"/>
          <w:szCs w:val="20"/>
        </w:rPr>
        <w:t xml:space="preserve"> vybraný ukazovateľ žiadateľ</w:t>
      </w:r>
      <w:r w:rsidR="0001047C" w:rsidRPr="002314BB">
        <w:rPr>
          <w:rFonts w:cstheme="minorHAnsi"/>
          <w:szCs w:val="20"/>
        </w:rPr>
        <w:t xml:space="preserve"> stanoví odhad cieľovej hodnoty k dátumu ukončenia realizácie aktivít projektu. V prípade, že projekt </w:t>
      </w:r>
      <w:r w:rsidR="00894F00" w:rsidRPr="002314BB">
        <w:rPr>
          <w:rFonts w:cstheme="minorHAnsi"/>
          <w:szCs w:val="20"/>
        </w:rPr>
        <w:t>je možné zaradiť do viacerých oblastí, žiadateľ</w:t>
      </w:r>
      <w:r w:rsidR="0001047C" w:rsidRPr="002314BB">
        <w:rPr>
          <w:rFonts w:cstheme="minorHAnsi"/>
          <w:szCs w:val="20"/>
        </w:rPr>
        <w:t xml:space="preserve"> si môže zvoliť relevantné ukazovatele z viacerých nasledujúcich tematických skupín</w:t>
      </w:r>
      <w:r w:rsidR="00BA4F13" w:rsidRPr="002314BB">
        <w:rPr>
          <w:rFonts w:cstheme="minorHAnsi"/>
          <w:szCs w:val="20"/>
        </w:rPr>
        <w:t xml:space="preserve"> </w:t>
      </w:r>
      <w:r w:rsidR="00894F00" w:rsidRPr="002314BB">
        <w:rPr>
          <w:rFonts w:cstheme="minorHAnsi"/>
          <w:szCs w:val="20"/>
        </w:rPr>
        <w:t xml:space="preserve">povinne voliteľných merateľných ukazovateľov </w:t>
      </w:r>
      <w:r w:rsidR="00BA4F13" w:rsidRPr="002314BB">
        <w:rPr>
          <w:rFonts w:cstheme="minorHAnsi"/>
          <w:szCs w:val="20"/>
        </w:rPr>
        <w:t>(A-H</w:t>
      </w:r>
      <w:r w:rsidR="00937281" w:rsidRPr="002314BB">
        <w:rPr>
          <w:rFonts w:cstheme="minorHAnsi"/>
          <w:szCs w:val="20"/>
        </w:rPr>
        <w:t>)</w:t>
      </w:r>
      <w:r w:rsidR="0001047C" w:rsidRPr="002314BB">
        <w:rPr>
          <w:rFonts w:cstheme="minorHAnsi"/>
          <w:szCs w:val="20"/>
        </w:rPr>
        <w:t>.</w:t>
      </w:r>
    </w:p>
    <w:p w14:paraId="7D74026A" w14:textId="77777777" w:rsidR="00773E65" w:rsidRPr="002314BB" w:rsidRDefault="00773E65" w:rsidP="00C61F5A">
      <w:pPr>
        <w:pStyle w:val="Bezriadkovania"/>
        <w:spacing w:line="276" w:lineRule="auto"/>
        <w:jc w:val="both"/>
        <w:rPr>
          <w:rFonts w:cstheme="minorHAnsi"/>
          <w:szCs w:val="20"/>
        </w:rPr>
      </w:pPr>
    </w:p>
    <w:p w14:paraId="4A020798" w14:textId="7F92D872" w:rsidR="007D05BD" w:rsidRPr="002314BB" w:rsidRDefault="002314BB" w:rsidP="006A33D8">
      <w:pPr>
        <w:spacing w:line="276" w:lineRule="auto"/>
        <w:jc w:val="both"/>
        <w:rPr>
          <w:rFonts w:eastAsia="Times New Roman" w:cstheme="minorHAnsi"/>
          <w:lang w:eastAsia="sk-SK"/>
        </w:rPr>
      </w:pPr>
      <w:r>
        <w:rPr>
          <w:rFonts w:eastAsia="Times New Roman" w:cstheme="minorHAnsi"/>
          <w:lang w:eastAsia="sk-SK"/>
        </w:rPr>
        <w:t>V</w:t>
      </w:r>
      <w:r w:rsidR="007D05BD" w:rsidRPr="002314BB">
        <w:rPr>
          <w:rFonts w:eastAsia="Times New Roman" w:cstheme="minorHAnsi"/>
          <w:lang w:eastAsia="sk-SK"/>
        </w:rPr>
        <w:t>oliteľné merateľné ukazovatele sa uplatňujú v závislosti od charakteru projektu</w:t>
      </w:r>
      <w:r w:rsidR="00B42359" w:rsidRPr="002314BB">
        <w:rPr>
          <w:rFonts w:eastAsia="Times New Roman" w:cstheme="minorHAnsi"/>
          <w:lang w:eastAsia="sk-SK"/>
        </w:rPr>
        <w:t>,</w:t>
      </w:r>
      <w:r w:rsidR="007D05BD" w:rsidRPr="002314BB">
        <w:rPr>
          <w:rFonts w:eastAsia="Times New Roman" w:cstheme="minorHAnsi"/>
          <w:lang w:eastAsia="sk-SK"/>
        </w:rPr>
        <w:t xml:space="preserve"> v ojedinelých prípadoch nahrádzajú</w:t>
      </w:r>
      <w:r w:rsidR="00773E65" w:rsidRPr="002314BB">
        <w:rPr>
          <w:rFonts w:eastAsia="Times New Roman" w:cstheme="minorHAnsi"/>
          <w:lang w:eastAsia="sk-SK"/>
        </w:rPr>
        <w:t xml:space="preserve"> </w:t>
      </w:r>
      <w:r w:rsidR="00B42359" w:rsidRPr="002314BB">
        <w:rPr>
          <w:rFonts w:eastAsia="Times New Roman" w:cstheme="minorHAnsi"/>
          <w:lang w:eastAsia="sk-SK"/>
        </w:rPr>
        <w:t>povinné merateľné ukazovatele, t. j. v</w:t>
      </w:r>
      <w:r>
        <w:rPr>
          <w:rFonts w:eastAsia="Times New Roman" w:cstheme="minorHAnsi"/>
          <w:lang w:eastAsia="sk-SK"/>
        </w:rPr>
        <w:t> </w:t>
      </w:r>
      <w:r w:rsidR="007D05BD" w:rsidRPr="002314BB">
        <w:rPr>
          <w:rFonts w:eastAsia="Times New Roman" w:cstheme="minorHAnsi"/>
          <w:lang w:eastAsia="sk-SK"/>
        </w:rPr>
        <w:t xml:space="preserve">prípade, ak v rámci predkladaného projektu nevznikne </w:t>
      </w:r>
      <w:r w:rsidR="00773E65" w:rsidRPr="002314BB">
        <w:rPr>
          <w:rFonts w:eastAsia="Times New Roman" w:cstheme="minorHAnsi"/>
          <w:lang w:eastAsia="sk-SK"/>
        </w:rPr>
        <w:t xml:space="preserve">žiadne </w:t>
      </w:r>
      <w:r w:rsidR="007D05BD" w:rsidRPr="002314BB">
        <w:rPr>
          <w:rFonts w:eastAsia="Times New Roman" w:cstheme="minorHAnsi"/>
          <w:lang w:eastAsia="sk-SK"/>
        </w:rPr>
        <w:t xml:space="preserve">pracovné miesto, žiadateľ </w:t>
      </w:r>
      <w:r w:rsidR="00B42359" w:rsidRPr="002314BB">
        <w:rPr>
          <w:rFonts w:eastAsia="Times New Roman" w:cstheme="minorHAnsi"/>
          <w:lang w:eastAsia="sk-SK"/>
        </w:rPr>
        <w:t xml:space="preserve">si </w:t>
      </w:r>
      <w:r w:rsidR="007D05BD" w:rsidRPr="002314BB">
        <w:rPr>
          <w:rFonts w:eastAsia="Times New Roman" w:cstheme="minorHAnsi"/>
          <w:lang w:eastAsia="sk-SK"/>
        </w:rPr>
        <w:t xml:space="preserve">musí vybrať zo zoznamu voliteľných merateľných ukazovateľ minimálne 1 </w:t>
      </w:r>
      <w:r w:rsidR="006A33D8" w:rsidRPr="002314BB">
        <w:rPr>
          <w:rFonts w:eastAsia="Times New Roman" w:cstheme="minorHAnsi"/>
          <w:lang w:eastAsia="sk-SK"/>
        </w:rPr>
        <w:t>MU</w:t>
      </w:r>
      <w:r w:rsidR="007D05BD" w:rsidRPr="002314BB">
        <w:rPr>
          <w:rFonts w:eastAsia="Times New Roman" w:cstheme="minorHAnsi"/>
          <w:lang w:eastAsia="sk-SK"/>
        </w:rPr>
        <w:t>.</w:t>
      </w:r>
    </w:p>
    <w:p w14:paraId="49BEE5F4" w14:textId="5E44B9DB" w:rsidR="00937281" w:rsidRPr="002314BB" w:rsidRDefault="00937281" w:rsidP="00CF1844">
      <w:pPr>
        <w:pStyle w:val="Bezriadkovania"/>
        <w:jc w:val="both"/>
        <w:rPr>
          <w:rFonts w:cstheme="minorHAnsi"/>
          <w:b/>
          <w:szCs w:val="20"/>
        </w:rPr>
      </w:pPr>
      <w:r w:rsidRPr="002314BB">
        <w:rPr>
          <w:rFonts w:cstheme="minorHAnsi"/>
          <w:b/>
          <w:szCs w:val="20"/>
        </w:rPr>
        <w:t>Tematické skupiny:</w:t>
      </w:r>
    </w:p>
    <w:p w14:paraId="2BCE4849" w14:textId="77777777" w:rsidR="00937281" w:rsidRPr="002314BB" w:rsidRDefault="00937281" w:rsidP="00CF1844">
      <w:pPr>
        <w:pStyle w:val="Bezriadkovania"/>
        <w:jc w:val="both"/>
        <w:rPr>
          <w:rFonts w:cstheme="minorHAnsi"/>
          <w:szCs w:val="20"/>
        </w:rPr>
      </w:pPr>
    </w:p>
    <w:p w14:paraId="24D2C8F2" w14:textId="1BAC614F" w:rsidR="00937281" w:rsidRPr="002314BB" w:rsidRDefault="00937281" w:rsidP="00D6332A">
      <w:pPr>
        <w:pStyle w:val="Bezriadkovania"/>
        <w:numPr>
          <w:ilvl w:val="0"/>
          <w:numId w:val="7"/>
        </w:numPr>
        <w:ind w:left="284" w:hanging="284"/>
        <w:jc w:val="both"/>
        <w:rPr>
          <w:rFonts w:cstheme="minorHAnsi"/>
          <w:b/>
        </w:rPr>
      </w:pPr>
      <w:r w:rsidRPr="002314BB">
        <w:rPr>
          <w:rFonts w:cstheme="minorHAnsi"/>
          <w:b/>
          <w:szCs w:val="20"/>
        </w:rPr>
        <w:t xml:space="preserve">Zamestnanosť </w:t>
      </w:r>
    </w:p>
    <w:p w14:paraId="5258BF94" w14:textId="72670D15" w:rsidR="00937281" w:rsidRPr="002314BB" w:rsidRDefault="00937281" w:rsidP="00937281">
      <w:pPr>
        <w:pStyle w:val="Bezriadkovania"/>
        <w:jc w:val="both"/>
        <w:rPr>
          <w:rFonts w:cstheme="minorHAnsi"/>
          <w:b/>
        </w:rPr>
      </w:pPr>
    </w:p>
    <w:tbl>
      <w:tblPr>
        <w:tblStyle w:val="Mriekatabuky"/>
        <w:tblW w:w="14019" w:type="dxa"/>
        <w:tblLook w:val="04A0" w:firstRow="1" w:lastRow="0" w:firstColumn="1" w:lastColumn="0" w:noHBand="0" w:noVBand="1"/>
      </w:tblPr>
      <w:tblGrid>
        <w:gridCol w:w="3671"/>
        <w:gridCol w:w="1134"/>
        <w:gridCol w:w="9214"/>
      </w:tblGrid>
      <w:tr w:rsidR="00937281" w:rsidRPr="002314BB" w14:paraId="0A4D1924" w14:textId="77777777" w:rsidTr="002419C3">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6E04FA67" w14:textId="77777777" w:rsidR="00937281" w:rsidRPr="002314BB" w:rsidRDefault="00937281"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50072EBD" w14:textId="77777777" w:rsidR="00937281" w:rsidRPr="002314BB" w:rsidRDefault="00937281"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3E98E319" w14:textId="77777777" w:rsidR="00937281" w:rsidRPr="002314BB" w:rsidRDefault="00937281"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C77733" w:rsidRPr="002314BB" w14:paraId="5EC7BBCF" w14:textId="77777777" w:rsidTr="002419C3">
        <w:tc>
          <w:tcPr>
            <w:tcW w:w="3671" w:type="dxa"/>
            <w:tcBorders>
              <w:top w:val="single" w:sz="12" w:space="0" w:color="auto"/>
              <w:left w:val="single" w:sz="12" w:space="0" w:color="auto"/>
              <w:bottom w:val="single" w:sz="12" w:space="0" w:color="auto"/>
            </w:tcBorders>
            <w:shd w:val="clear" w:color="auto" w:fill="auto"/>
            <w:vAlign w:val="center"/>
          </w:tcPr>
          <w:p w14:paraId="43314109" w14:textId="77777777" w:rsidR="00C77733" w:rsidRPr="002314BB" w:rsidRDefault="00C77733" w:rsidP="00C77733">
            <w:pPr>
              <w:ind w:right="1222"/>
              <w:rPr>
                <w:rFonts w:eastAsia="Times New Roman" w:cstheme="minorHAnsi"/>
                <w:b/>
                <w:bCs/>
                <w:lang w:eastAsia="sk-SK"/>
              </w:rPr>
            </w:pPr>
          </w:p>
          <w:p w14:paraId="5398DC52" w14:textId="77777777" w:rsidR="00C77733" w:rsidRPr="002314BB" w:rsidRDefault="00C77733" w:rsidP="00C77733">
            <w:pPr>
              <w:ind w:right="-111"/>
              <w:rPr>
                <w:rFonts w:eastAsia="Times New Roman" w:cstheme="minorHAnsi"/>
                <w:b/>
                <w:bCs/>
                <w:lang w:eastAsia="sk-SK"/>
              </w:rPr>
            </w:pPr>
            <w:r w:rsidRPr="002314BB">
              <w:rPr>
                <w:rFonts w:eastAsia="Times New Roman" w:cstheme="minorHAnsi"/>
                <w:b/>
                <w:bCs/>
                <w:lang w:eastAsia="sk-SK"/>
              </w:rPr>
              <w:t>Počet priamo podporených pracovných miest:</w:t>
            </w:r>
          </w:p>
          <w:p w14:paraId="2A491EC4" w14:textId="77777777" w:rsidR="00C77733" w:rsidRPr="002314BB" w:rsidRDefault="00C77733" w:rsidP="00C77733">
            <w:pPr>
              <w:ind w:right="-111"/>
              <w:rPr>
                <w:rFonts w:eastAsia="Times New Roman" w:cstheme="minorHAnsi"/>
                <w:b/>
                <w:bCs/>
                <w:lang w:eastAsia="sk-SK"/>
              </w:rPr>
            </w:pPr>
            <w:r w:rsidRPr="002314BB">
              <w:rPr>
                <w:rFonts w:eastAsia="Times New Roman" w:cstheme="minorHAnsi"/>
                <w:b/>
                <w:bCs/>
                <w:lang w:eastAsia="sk-SK"/>
              </w:rPr>
              <w:t xml:space="preserve"> </w:t>
            </w:r>
          </w:p>
          <w:p w14:paraId="75F0984A" w14:textId="77777777" w:rsidR="002314BB" w:rsidRDefault="00C77733" w:rsidP="00C61F5A">
            <w:pPr>
              <w:ind w:right="-193"/>
              <w:rPr>
                <w:rFonts w:cstheme="minorHAnsi"/>
                <w:i/>
              </w:rPr>
            </w:pPr>
            <w:r w:rsidRPr="002314BB">
              <w:rPr>
                <w:rFonts w:cstheme="minorHAnsi"/>
                <w:i/>
              </w:rPr>
              <w:t xml:space="preserve">Neregistrovaný uchádzač </w:t>
            </w:r>
          </w:p>
          <w:p w14:paraId="7787E21A" w14:textId="2DBE3B2A" w:rsidR="00AB0038" w:rsidRPr="002314BB" w:rsidRDefault="00C77733" w:rsidP="00C61F5A">
            <w:pPr>
              <w:ind w:right="-193"/>
              <w:rPr>
                <w:rFonts w:cstheme="minorHAnsi"/>
                <w:i/>
              </w:rPr>
            </w:pPr>
            <w:r w:rsidRPr="002314BB">
              <w:rPr>
                <w:rFonts w:cstheme="minorHAnsi"/>
                <w:i/>
              </w:rPr>
              <w:t>o zamestnanie na Úrade práce, sociálnych vecí a </w:t>
            </w:r>
          </w:p>
          <w:p w14:paraId="1BA48FF3" w14:textId="7F839F6C" w:rsidR="00C77733" w:rsidRPr="002314BB" w:rsidRDefault="00C77733" w:rsidP="00C61F5A">
            <w:pPr>
              <w:ind w:right="-193"/>
              <w:rPr>
                <w:rFonts w:eastAsia="Times New Roman" w:cstheme="minorHAnsi"/>
                <w:b/>
                <w:bCs/>
                <w:lang w:eastAsia="sk-SK"/>
              </w:rPr>
            </w:pPr>
            <w:r w:rsidRPr="002314BB">
              <w:rPr>
                <w:rFonts w:cstheme="minorHAnsi"/>
                <w:i/>
              </w:rPr>
              <w:t>rodiny SR</w:t>
            </w:r>
          </w:p>
        </w:tc>
        <w:tc>
          <w:tcPr>
            <w:tcW w:w="1134" w:type="dxa"/>
            <w:tcBorders>
              <w:top w:val="single" w:sz="12" w:space="0" w:color="auto"/>
              <w:bottom w:val="single" w:sz="12" w:space="0" w:color="auto"/>
            </w:tcBorders>
            <w:shd w:val="clear" w:color="auto" w:fill="auto"/>
            <w:vAlign w:val="center"/>
          </w:tcPr>
          <w:p w14:paraId="13332669" w14:textId="45BA9AB4" w:rsidR="00C77733" w:rsidRPr="002314BB" w:rsidRDefault="00C77733" w:rsidP="000E734F">
            <w:pPr>
              <w:ind w:right="-193"/>
              <w:jc w:val="center"/>
              <w:rPr>
                <w:rFonts w:eastAsia="Times New Roman" w:cstheme="minorHAnsi"/>
                <w:b/>
                <w:bCs/>
                <w:lang w:eastAsia="sk-SK"/>
              </w:rPr>
            </w:pPr>
            <w:r w:rsidRPr="002314BB">
              <w:rPr>
                <w:rFonts w:eastAsia="Times New Roman" w:cstheme="minorHAnsi"/>
                <w:lang w:eastAsia="sk-SK"/>
              </w:rPr>
              <w:t>počet</w:t>
            </w:r>
          </w:p>
        </w:tc>
        <w:tc>
          <w:tcPr>
            <w:tcW w:w="9214" w:type="dxa"/>
            <w:tcBorders>
              <w:top w:val="single" w:sz="12" w:space="0" w:color="auto"/>
              <w:bottom w:val="single" w:sz="12" w:space="0" w:color="auto"/>
              <w:right w:val="single" w:sz="12" w:space="0" w:color="auto"/>
            </w:tcBorders>
            <w:shd w:val="clear" w:color="auto" w:fill="auto"/>
          </w:tcPr>
          <w:p w14:paraId="22CDC8AE" w14:textId="459B7033" w:rsidR="00C77733" w:rsidRPr="002314BB" w:rsidRDefault="00C77733" w:rsidP="00C77733">
            <w:pPr>
              <w:pStyle w:val="Bezriadkovania"/>
              <w:jc w:val="both"/>
              <w:rPr>
                <w:rFonts w:cstheme="minorHAnsi"/>
              </w:rPr>
            </w:pPr>
            <w:r w:rsidRPr="002314BB">
              <w:rPr>
                <w:rFonts w:cstheme="minorHAnsi"/>
              </w:rPr>
              <w:t>Pracovné miesta, ktoré budú vytvorené realizáciou projektu a zachované počas minimálne 1 roka po</w:t>
            </w:r>
            <w:r w:rsidR="002314BB">
              <w:rPr>
                <w:rFonts w:cstheme="minorHAnsi"/>
              </w:rPr>
              <w:t> </w:t>
            </w:r>
            <w:r w:rsidRPr="002314BB">
              <w:rPr>
                <w:rFonts w:cstheme="minorHAnsi"/>
              </w:rPr>
              <w:t xml:space="preserve">jeho ukončení. V prípade podpory hospodárskej činnosti je povinné obdobie udržateľnosti pracovného miesta určené v príslušných schémach pomoci. </w:t>
            </w:r>
          </w:p>
          <w:p w14:paraId="4B987428" w14:textId="77777777" w:rsidR="00C77733" w:rsidRPr="002314BB" w:rsidRDefault="00C77733" w:rsidP="00C77733">
            <w:pPr>
              <w:pStyle w:val="Bezriadkovania"/>
              <w:jc w:val="both"/>
              <w:rPr>
                <w:rFonts w:cstheme="minorHAnsi"/>
                <w:b/>
              </w:rPr>
            </w:pPr>
            <w:r w:rsidRPr="002314BB">
              <w:rPr>
                <w:rFonts w:cstheme="minorHAnsi"/>
              </w:rPr>
              <w:t xml:space="preserve">Ukazovateľ - počet ročne podporených pracovných miest </w:t>
            </w:r>
            <w:r w:rsidRPr="002314BB">
              <w:rPr>
                <w:rFonts w:eastAsia="Times New Roman" w:cstheme="minorHAnsi"/>
                <w:lang w:eastAsia="sk-SK"/>
              </w:rPr>
              <w:t>vyjadruje celkový počet vytvorených a</w:t>
            </w:r>
            <w:r w:rsidRPr="002314BB">
              <w:rPr>
                <w:rFonts w:cstheme="minorHAnsi"/>
              </w:rPr>
              <w:t> </w:t>
            </w:r>
            <w:r w:rsidRPr="002314BB">
              <w:rPr>
                <w:rFonts w:eastAsia="Times New Roman" w:cstheme="minorHAnsi"/>
                <w:lang w:eastAsia="sk-SK"/>
              </w:rPr>
              <w:t>obsadených pracovných miest v ekvivalentoch plných pracovných úväzkov (ďalej len „full time equivalent“ alebo „FTE“) zodpovedajúcich ročnému fondu pracovného času. Podporené pracovné miesta musia vzniknúť v priamej súvislosti s</w:t>
            </w:r>
            <w:r w:rsidRPr="002314BB">
              <w:rPr>
                <w:rFonts w:cstheme="minorHAnsi"/>
              </w:rPr>
              <w:t> </w:t>
            </w:r>
            <w:r w:rsidRPr="002314BB">
              <w:rPr>
                <w:rFonts w:eastAsia="Times New Roman" w:cstheme="minorHAnsi"/>
                <w:lang w:eastAsia="sk-SK"/>
              </w:rPr>
              <w:t>realizovaným podporeným projektom.</w:t>
            </w:r>
          </w:p>
          <w:p w14:paraId="32ACFE2B" w14:textId="77777777" w:rsidR="00C77733" w:rsidRPr="002314BB" w:rsidRDefault="00C77733" w:rsidP="00C77733">
            <w:pPr>
              <w:pStyle w:val="Bezriadkovania"/>
              <w:jc w:val="both"/>
              <w:rPr>
                <w:rFonts w:eastAsia="Times New Roman" w:cstheme="minorHAnsi"/>
                <w:lang w:eastAsia="sk-SK"/>
              </w:rPr>
            </w:pPr>
            <w:r w:rsidRPr="002314BB">
              <w:rPr>
                <w:rFonts w:eastAsia="Times New Roman" w:cstheme="minorHAnsi"/>
                <w:lang w:eastAsia="sk-SK"/>
              </w:rPr>
              <w:t>MU je vyhodnotený prostredníctvom Prílohy č. 3, Príručky pre prijímateľa s názvom „Evidencia obsadzovania alebo preobsadzovania pracovných miest“.</w:t>
            </w:r>
          </w:p>
          <w:p w14:paraId="2C554869" w14:textId="77777777" w:rsidR="00C77733" w:rsidRPr="002314BB" w:rsidRDefault="00C77733" w:rsidP="002419C3">
            <w:pPr>
              <w:ind w:right="-193"/>
              <w:rPr>
                <w:rFonts w:eastAsia="Times New Roman" w:cstheme="minorHAnsi"/>
                <w:b/>
                <w:bCs/>
                <w:lang w:eastAsia="sk-SK"/>
              </w:rPr>
            </w:pPr>
          </w:p>
        </w:tc>
      </w:tr>
      <w:tr w:rsidR="00C77733" w:rsidRPr="002314BB" w14:paraId="2D09E0AC" w14:textId="77777777" w:rsidTr="002419C3">
        <w:trPr>
          <w:trHeight w:val="1233"/>
        </w:trPr>
        <w:tc>
          <w:tcPr>
            <w:tcW w:w="3671" w:type="dxa"/>
            <w:tcBorders>
              <w:top w:val="single" w:sz="12" w:space="0" w:color="auto"/>
              <w:left w:val="single" w:sz="12" w:space="0" w:color="auto"/>
              <w:bottom w:val="single" w:sz="12" w:space="0" w:color="auto"/>
            </w:tcBorders>
            <w:vAlign w:val="center"/>
          </w:tcPr>
          <w:p w14:paraId="4ACA3280" w14:textId="662BCBF7" w:rsidR="00C77733" w:rsidRPr="002314BB" w:rsidRDefault="00C77733" w:rsidP="00C77733">
            <w:pPr>
              <w:ind w:right="-193"/>
              <w:rPr>
                <w:rFonts w:eastAsia="Times New Roman" w:cstheme="minorHAnsi"/>
                <w:lang w:eastAsia="sk-SK"/>
              </w:rPr>
            </w:pPr>
            <w:r w:rsidRPr="002314BB">
              <w:rPr>
                <w:rFonts w:eastAsia="Times New Roman" w:cstheme="minorHAnsi"/>
                <w:b/>
                <w:bCs/>
                <w:lang w:eastAsia="sk-SK"/>
              </w:rPr>
              <w:lastRenderedPageBreak/>
              <w:t>Počet nepriamo podporených pracovných miest</w:t>
            </w:r>
          </w:p>
        </w:tc>
        <w:tc>
          <w:tcPr>
            <w:tcW w:w="1134" w:type="dxa"/>
            <w:tcBorders>
              <w:top w:val="single" w:sz="12" w:space="0" w:color="auto"/>
              <w:bottom w:val="single" w:sz="12" w:space="0" w:color="auto"/>
            </w:tcBorders>
            <w:vAlign w:val="center"/>
          </w:tcPr>
          <w:p w14:paraId="4A0029B9" w14:textId="61601BA2" w:rsidR="00C77733" w:rsidRPr="002314BB" w:rsidRDefault="00C77733" w:rsidP="00C77733">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12" w:space="0" w:color="auto"/>
              <w:right w:val="single" w:sz="12" w:space="0" w:color="auto"/>
            </w:tcBorders>
            <w:vAlign w:val="center"/>
          </w:tcPr>
          <w:p w14:paraId="5276A7A2" w14:textId="0E5104AC" w:rsidR="00C77733" w:rsidRPr="002314BB" w:rsidRDefault="00C77733" w:rsidP="00C77733">
            <w:pPr>
              <w:pStyle w:val="Bezriadkovania"/>
              <w:jc w:val="both"/>
              <w:rPr>
                <w:rFonts w:cstheme="minorHAnsi"/>
                <w:b/>
              </w:rPr>
            </w:pPr>
            <w:r w:rsidRPr="002314BB">
              <w:rPr>
                <w:rFonts w:cstheme="minorHAnsi"/>
              </w:rPr>
              <w:t>Pracovné miesta, ktoré vzniknú u iných subjektoch vďaka realizácii projektu. Preukazuje sa čestným prehlásením prijímateľa.</w:t>
            </w:r>
          </w:p>
        </w:tc>
      </w:tr>
    </w:tbl>
    <w:p w14:paraId="766DD157" w14:textId="06E6E699" w:rsidR="00937281" w:rsidRPr="002314BB" w:rsidRDefault="00937281" w:rsidP="00937281">
      <w:pPr>
        <w:pStyle w:val="Bezriadkovania"/>
        <w:jc w:val="both"/>
        <w:rPr>
          <w:rFonts w:cstheme="minorHAnsi"/>
          <w:b/>
        </w:rPr>
      </w:pPr>
    </w:p>
    <w:p w14:paraId="63294097" w14:textId="77777777" w:rsidR="00AB0038" w:rsidRPr="002314BB" w:rsidRDefault="00AB0038" w:rsidP="00937281">
      <w:pPr>
        <w:pStyle w:val="Bezriadkovania"/>
        <w:jc w:val="both"/>
        <w:rPr>
          <w:rFonts w:cstheme="minorHAnsi"/>
          <w:b/>
        </w:rPr>
      </w:pPr>
    </w:p>
    <w:p w14:paraId="62EE3A98" w14:textId="487A38D8" w:rsidR="00D6332A" w:rsidRPr="002314BB" w:rsidRDefault="00D6332A" w:rsidP="00D6332A">
      <w:pPr>
        <w:pStyle w:val="Bezriadkovania"/>
        <w:numPr>
          <w:ilvl w:val="0"/>
          <w:numId w:val="7"/>
        </w:numPr>
        <w:ind w:left="284" w:hanging="284"/>
        <w:jc w:val="both"/>
        <w:rPr>
          <w:rFonts w:cstheme="minorHAnsi"/>
          <w:b/>
          <w:szCs w:val="20"/>
        </w:rPr>
      </w:pPr>
      <w:r w:rsidRPr="002314BB">
        <w:rPr>
          <w:rFonts w:cstheme="minorHAnsi"/>
          <w:b/>
          <w:szCs w:val="20"/>
        </w:rPr>
        <w:t xml:space="preserve">Podnikanie a inovácie </w:t>
      </w:r>
    </w:p>
    <w:p w14:paraId="13E39A0D" w14:textId="1D99A790" w:rsidR="00D6332A" w:rsidRPr="002314BB" w:rsidRDefault="00D6332A" w:rsidP="00D6332A">
      <w:pPr>
        <w:pStyle w:val="Bezriadkovania"/>
        <w:jc w:val="both"/>
        <w:rPr>
          <w:rFonts w:cstheme="minorHAnsi"/>
        </w:rPr>
      </w:pPr>
    </w:p>
    <w:tbl>
      <w:tblPr>
        <w:tblStyle w:val="Mriekatabuky"/>
        <w:tblW w:w="14019" w:type="dxa"/>
        <w:tblLook w:val="04A0" w:firstRow="1" w:lastRow="0" w:firstColumn="1" w:lastColumn="0" w:noHBand="0" w:noVBand="1"/>
      </w:tblPr>
      <w:tblGrid>
        <w:gridCol w:w="3671"/>
        <w:gridCol w:w="1180"/>
        <w:gridCol w:w="9168"/>
      </w:tblGrid>
      <w:tr w:rsidR="00D6332A" w:rsidRPr="002314BB" w14:paraId="71A8AF0E"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172283DB" w14:textId="77777777" w:rsidR="00D6332A" w:rsidRPr="002314BB" w:rsidRDefault="00D6332A"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80" w:type="dxa"/>
            <w:tcBorders>
              <w:top w:val="single" w:sz="12" w:space="0" w:color="auto"/>
              <w:bottom w:val="single" w:sz="12" w:space="0" w:color="auto"/>
            </w:tcBorders>
            <w:shd w:val="clear" w:color="auto" w:fill="BDD6EE" w:themeFill="accent1" w:themeFillTint="66"/>
            <w:vAlign w:val="center"/>
          </w:tcPr>
          <w:p w14:paraId="22292F25" w14:textId="77777777" w:rsidR="00D6332A" w:rsidRPr="002314BB" w:rsidRDefault="00D6332A"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168" w:type="dxa"/>
            <w:tcBorders>
              <w:top w:val="single" w:sz="12" w:space="0" w:color="auto"/>
              <w:bottom w:val="single" w:sz="12" w:space="0" w:color="auto"/>
              <w:right w:val="single" w:sz="12" w:space="0" w:color="auto"/>
            </w:tcBorders>
            <w:shd w:val="clear" w:color="auto" w:fill="BDD6EE" w:themeFill="accent1" w:themeFillTint="66"/>
            <w:vAlign w:val="center"/>
          </w:tcPr>
          <w:p w14:paraId="210255F7" w14:textId="77777777" w:rsidR="00D6332A" w:rsidRPr="002314BB" w:rsidRDefault="00D6332A"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14494C" w:rsidRPr="002314BB" w14:paraId="2D3FC646" w14:textId="77777777" w:rsidTr="00AB0038">
        <w:trPr>
          <w:trHeight w:val="2017"/>
        </w:trPr>
        <w:tc>
          <w:tcPr>
            <w:tcW w:w="3671" w:type="dxa"/>
            <w:tcBorders>
              <w:top w:val="single" w:sz="12" w:space="0" w:color="auto"/>
              <w:left w:val="single" w:sz="12" w:space="0" w:color="auto"/>
              <w:bottom w:val="single" w:sz="4" w:space="0" w:color="auto"/>
            </w:tcBorders>
            <w:vAlign w:val="center"/>
          </w:tcPr>
          <w:p w14:paraId="6F50B37B" w14:textId="7E5D67B8" w:rsidR="0014494C" w:rsidRPr="002314BB" w:rsidRDefault="0014494C" w:rsidP="00526BA4">
            <w:pPr>
              <w:ind w:right="-135"/>
              <w:rPr>
                <w:rFonts w:eastAsia="Times New Roman" w:cstheme="minorHAnsi"/>
                <w:lang w:eastAsia="sk-SK"/>
              </w:rPr>
            </w:pPr>
            <w:r w:rsidRPr="002314BB">
              <w:rPr>
                <w:rFonts w:eastAsia="Times New Roman" w:cstheme="minorHAnsi"/>
                <w:b/>
                <w:lang w:eastAsia="sk-SK"/>
              </w:rPr>
              <w:t>Počet nových produktov poskytovaných subjektom</w:t>
            </w:r>
          </w:p>
        </w:tc>
        <w:tc>
          <w:tcPr>
            <w:tcW w:w="1180" w:type="dxa"/>
            <w:tcBorders>
              <w:top w:val="single" w:sz="12" w:space="0" w:color="auto"/>
              <w:bottom w:val="single" w:sz="4" w:space="0" w:color="auto"/>
            </w:tcBorders>
            <w:vAlign w:val="center"/>
          </w:tcPr>
          <w:p w14:paraId="06025838" w14:textId="0B19778C" w:rsidR="0014494C" w:rsidRPr="002314BB" w:rsidRDefault="0014494C" w:rsidP="0014494C">
            <w:pPr>
              <w:jc w:val="center"/>
              <w:rPr>
                <w:rFonts w:eastAsia="Times New Roman" w:cstheme="minorHAnsi"/>
                <w:lang w:eastAsia="sk-SK"/>
              </w:rPr>
            </w:pPr>
            <w:r w:rsidRPr="002314BB">
              <w:rPr>
                <w:rFonts w:eastAsia="Times New Roman" w:cstheme="minorHAnsi"/>
                <w:lang w:eastAsia="sk-SK"/>
              </w:rPr>
              <w:t>počet</w:t>
            </w:r>
          </w:p>
        </w:tc>
        <w:tc>
          <w:tcPr>
            <w:tcW w:w="9168" w:type="dxa"/>
            <w:tcBorders>
              <w:top w:val="single" w:sz="12" w:space="0" w:color="auto"/>
              <w:bottom w:val="single" w:sz="4" w:space="0" w:color="auto"/>
              <w:right w:val="single" w:sz="12" w:space="0" w:color="auto"/>
            </w:tcBorders>
            <w:vAlign w:val="center"/>
          </w:tcPr>
          <w:p w14:paraId="22FF0A6D" w14:textId="13697963" w:rsidR="0014494C" w:rsidRPr="002314BB" w:rsidRDefault="0014494C" w:rsidP="00A00DE5">
            <w:pPr>
              <w:pStyle w:val="Bezriadkovania"/>
              <w:jc w:val="both"/>
              <w:rPr>
                <w:rFonts w:cstheme="minorHAnsi"/>
                <w:b/>
              </w:rPr>
            </w:pPr>
            <w:r w:rsidRPr="002314BB">
              <w:rPr>
                <w:rFonts w:eastAsia="Times New Roman" w:cstheme="minorHAnsi"/>
                <w:lang w:eastAsia="sk-SK"/>
              </w:rPr>
              <w:t>Tovary alebo služby, ktoré neboli do realizácie aktivít projektu ponúkané vrátane zmeny ich kvality. Jedná sa o vznik nového výrobku alebo služby (produktu), resp. podstatnú zmenu (vylepšenie) produktu spočívajúcu v jeho výrazne zdokonalených vlastnostiach alebo účele využitia.</w:t>
            </w:r>
            <w:r w:rsidR="00CA50C9" w:rsidRPr="002314BB">
              <w:rPr>
                <w:rFonts w:eastAsia="Times New Roman" w:cstheme="minorHAnsi"/>
                <w:lang w:eastAsia="sk-SK"/>
              </w:rPr>
              <w:t xml:space="preserve"> MU sa preukazuje dokumentom z internej evidencie prijímateľa. </w:t>
            </w:r>
          </w:p>
        </w:tc>
      </w:tr>
      <w:tr w:rsidR="0014494C" w:rsidRPr="002314BB" w14:paraId="583A6F4D" w14:textId="77777777" w:rsidTr="00AB0038">
        <w:trPr>
          <w:trHeight w:val="2534"/>
        </w:trPr>
        <w:tc>
          <w:tcPr>
            <w:tcW w:w="3671" w:type="dxa"/>
            <w:tcBorders>
              <w:top w:val="single" w:sz="4" w:space="0" w:color="auto"/>
              <w:left w:val="single" w:sz="12" w:space="0" w:color="auto"/>
              <w:bottom w:val="single" w:sz="4" w:space="0" w:color="auto"/>
            </w:tcBorders>
            <w:shd w:val="clear" w:color="auto" w:fill="auto"/>
            <w:vAlign w:val="center"/>
          </w:tcPr>
          <w:p w14:paraId="67DD9166" w14:textId="515EFF6C" w:rsidR="0014494C" w:rsidRPr="002314BB" w:rsidRDefault="0014494C" w:rsidP="00526BA4">
            <w:pPr>
              <w:ind w:right="-135"/>
              <w:rPr>
                <w:rFonts w:eastAsia="Times New Roman" w:cstheme="minorHAnsi"/>
                <w:b/>
                <w:bCs/>
                <w:lang w:eastAsia="sk-SK"/>
              </w:rPr>
            </w:pPr>
            <w:r w:rsidRPr="002314BB">
              <w:rPr>
                <w:rFonts w:eastAsia="Times New Roman" w:cstheme="minorHAnsi"/>
                <w:b/>
                <w:lang w:eastAsia="sk-SK"/>
              </w:rPr>
              <w:t>Počet podnikov, ktorým sa poskytuje podpora</w:t>
            </w:r>
          </w:p>
        </w:tc>
        <w:tc>
          <w:tcPr>
            <w:tcW w:w="1180" w:type="dxa"/>
            <w:tcBorders>
              <w:top w:val="single" w:sz="4" w:space="0" w:color="auto"/>
              <w:bottom w:val="single" w:sz="4" w:space="0" w:color="auto"/>
            </w:tcBorders>
            <w:vAlign w:val="center"/>
          </w:tcPr>
          <w:p w14:paraId="3A1FE16E" w14:textId="6CAB287C" w:rsidR="0014494C" w:rsidRPr="002314BB" w:rsidRDefault="0014494C" w:rsidP="0014494C">
            <w:pPr>
              <w:jc w:val="center"/>
              <w:rPr>
                <w:rFonts w:eastAsia="Times New Roman" w:cstheme="minorHAnsi"/>
                <w:lang w:eastAsia="sk-SK"/>
              </w:rPr>
            </w:pPr>
            <w:r w:rsidRPr="002314BB">
              <w:rPr>
                <w:rFonts w:eastAsia="Times New Roman" w:cstheme="minorHAnsi"/>
                <w:lang w:eastAsia="sk-SK"/>
              </w:rPr>
              <w:t>počet</w:t>
            </w:r>
          </w:p>
        </w:tc>
        <w:tc>
          <w:tcPr>
            <w:tcW w:w="9168" w:type="dxa"/>
            <w:tcBorders>
              <w:top w:val="single" w:sz="4" w:space="0" w:color="auto"/>
              <w:bottom w:val="single" w:sz="4" w:space="0" w:color="auto"/>
              <w:right w:val="single" w:sz="12" w:space="0" w:color="auto"/>
            </w:tcBorders>
            <w:shd w:val="clear" w:color="auto" w:fill="auto"/>
            <w:vAlign w:val="center"/>
          </w:tcPr>
          <w:p w14:paraId="74180310" w14:textId="4FEF5EFD" w:rsidR="0014494C" w:rsidRPr="002314BB" w:rsidRDefault="0014494C" w:rsidP="00A00DE5">
            <w:pPr>
              <w:pStyle w:val="Bezriadkovania"/>
              <w:jc w:val="both"/>
              <w:rPr>
                <w:rFonts w:cstheme="minorHAnsi"/>
              </w:rPr>
            </w:pPr>
            <w:r w:rsidRPr="002314BB">
              <w:rPr>
                <w:rFonts w:eastAsia="Times New Roman" w:cstheme="minorHAnsi"/>
                <w:lang w:eastAsia="sk-SK"/>
              </w:rPr>
              <w:t>Podnik: Organizácia vyrábajúca výrobky alebo poskytujúca služby s cieľom uspokojiť potreby trhu a tým dosiahnuť zisk. Právna forma podniku môže byť rôzna (SZČO, partnerstvá, atď.) Podnikom je aj subjekt sociálnej ekonomiky, ktorého hlavným cieľom nie je tvorba zisku pre jeho majiteľov, ale dosiahnutie pozitívneho sociálneho vplyvu.</w:t>
            </w:r>
            <w:r w:rsidR="00CA50C9" w:rsidRPr="002314BB">
              <w:rPr>
                <w:rFonts w:eastAsia="Times New Roman" w:cstheme="minorHAnsi"/>
                <w:lang w:eastAsia="sk-SK"/>
              </w:rPr>
              <w:t xml:space="preserve"> MU sa preukazuje dokumentom z internej evidencie prijímateľa. </w:t>
            </w:r>
          </w:p>
        </w:tc>
      </w:tr>
      <w:tr w:rsidR="0014494C" w:rsidRPr="002314BB" w14:paraId="30CD9E35" w14:textId="77777777" w:rsidTr="00AB0038">
        <w:trPr>
          <w:trHeight w:val="1284"/>
        </w:trPr>
        <w:tc>
          <w:tcPr>
            <w:tcW w:w="3671" w:type="dxa"/>
            <w:tcBorders>
              <w:top w:val="single" w:sz="4" w:space="0" w:color="auto"/>
              <w:left w:val="single" w:sz="12" w:space="0" w:color="auto"/>
              <w:bottom w:val="single" w:sz="12" w:space="0" w:color="auto"/>
            </w:tcBorders>
            <w:shd w:val="clear" w:color="auto" w:fill="auto"/>
            <w:vAlign w:val="center"/>
          </w:tcPr>
          <w:p w14:paraId="222651CE" w14:textId="23FCFC48" w:rsidR="0014494C" w:rsidRPr="002314BB" w:rsidRDefault="0014494C" w:rsidP="00526BA4">
            <w:pPr>
              <w:ind w:right="-135"/>
              <w:rPr>
                <w:rFonts w:eastAsia="Times New Roman" w:cstheme="minorHAnsi"/>
                <w:b/>
                <w:bCs/>
                <w:lang w:eastAsia="sk-SK"/>
              </w:rPr>
            </w:pPr>
            <w:r w:rsidRPr="002314BB">
              <w:rPr>
                <w:rFonts w:eastAsia="Times New Roman" w:cstheme="minorHAnsi"/>
                <w:b/>
                <w:lang w:eastAsia="sk-SK"/>
              </w:rPr>
              <w:t>Počet vytvorených multisektorových partnerstiev</w:t>
            </w:r>
          </w:p>
        </w:tc>
        <w:tc>
          <w:tcPr>
            <w:tcW w:w="1180" w:type="dxa"/>
            <w:tcBorders>
              <w:top w:val="single" w:sz="4" w:space="0" w:color="auto"/>
              <w:bottom w:val="single" w:sz="12" w:space="0" w:color="auto"/>
            </w:tcBorders>
            <w:vAlign w:val="center"/>
          </w:tcPr>
          <w:p w14:paraId="331D2347" w14:textId="490F7AA7" w:rsidR="0014494C" w:rsidRPr="002314BB" w:rsidRDefault="0014494C" w:rsidP="0014494C">
            <w:pPr>
              <w:jc w:val="center"/>
              <w:rPr>
                <w:rFonts w:eastAsia="Times New Roman" w:cstheme="minorHAnsi"/>
                <w:lang w:eastAsia="sk-SK"/>
              </w:rPr>
            </w:pPr>
            <w:r w:rsidRPr="002314BB">
              <w:rPr>
                <w:rFonts w:eastAsia="Times New Roman" w:cstheme="minorHAnsi"/>
                <w:lang w:eastAsia="sk-SK"/>
              </w:rPr>
              <w:t xml:space="preserve">počet </w:t>
            </w:r>
          </w:p>
        </w:tc>
        <w:tc>
          <w:tcPr>
            <w:tcW w:w="9168" w:type="dxa"/>
            <w:tcBorders>
              <w:top w:val="single" w:sz="4" w:space="0" w:color="auto"/>
              <w:bottom w:val="single" w:sz="12" w:space="0" w:color="auto"/>
              <w:right w:val="single" w:sz="12" w:space="0" w:color="auto"/>
            </w:tcBorders>
            <w:vAlign w:val="center"/>
          </w:tcPr>
          <w:p w14:paraId="7FDF33A8" w14:textId="3BD0A6A6" w:rsidR="0014494C" w:rsidRPr="002314BB" w:rsidRDefault="0014494C" w:rsidP="00A00DE5">
            <w:pPr>
              <w:pStyle w:val="Bezriadkovania"/>
              <w:jc w:val="both"/>
              <w:rPr>
                <w:rFonts w:cstheme="minorHAnsi"/>
              </w:rPr>
            </w:pPr>
            <w:r w:rsidRPr="002314BB">
              <w:rPr>
                <w:rFonts w:eastAsia="Times New Roman" w:cstheme="minorHAnsi"/>
                <w:lang w:eastAsia="sk-SK"/>
              </w:rPr>
              <w:t>Počet partnerstiev, ktoré sú tvorené zástupcami minim</w:t>
            </w:r>
            <w:r w:rsidR="00905EB5" w:rsidRPr="002314BB">
              <w:rPr>
                <w:rFonts w:eastAsia="Times New Roman" w:cstheme="minorHAnsi"/>
                <w:lang w:eastAsia="sk-SK"/>
              </w:rPr>
              <w:t>álne dvoch rôznych sektorov (mimovládne organizácie</w:t>
            </w:r>
            <w:r w:rsidRPr="002314BB">
              <w:rPr>
                <w:rFonts w:eastAsia="Times New Roman" w:cstheme="minorHAnsi"/>
                <w:lang w:eastAsia="sk-SK"/>
              </w:rPr>
              <w:t>, štátna správa, samospráva, súkromný podnikateľský sektor).</w:t>
            </w:r>
            <w:r w:rsidR="00CA50C9" w:rsidRPr="002314BB">
              <w:rPr>
                <w:rFonts w:eastAsia="Times New Roman" w:cstheme="minorHAnsi"/>
                <w:lang w:eastAsia="sk-SK"/>
              </w:rPr>
              <w:t xml:space="preserve"> MU sa preukazuje dokumentom z internej evidencie prijímateľa, zmluvou o spolupráci a pod.</w:t>
            </w:r>
          </w:p>
        </w:tc>
      </w:tr>
    </w:tbl>
    <w:p w14:paraId="44C52277" w14:textId="77777777" w:rsidR="00AB0038" w:rsidRPr="002314BB" w:rsidRDefault="00AB0038" w:rsidP="00D6332A">
      <w:pPr>
        <w:pStyle w:val="Bezriadkovania"/>
        <w:jc w:val="both"/>
        <w:rPr>
          <w:rFonts w:cstheme="minorHAnsi"/>
          <w:b/>
        </w:rPr>
      </w:pPr>
    </w:p>
    <w:p w14:paraId="059EEDF3" w14:textId="77777777" w:rsidR="003660CB" w:rsidRPr="002314BB" w:rsidRDefault="00B10E50" w:rsidP="00B10E50">
      <w:pPr>
        <w:pStyle w:val="Bezriadkovania"/>
        <w:numPr>
          <w:ilvl w:val="0"/>
          <w:numId w:val="7"/>
        </w:numPr>
        <w:ind w:left="284" w:hanging="284"/>
        <w:jc w:val="both"/>
        <w:rPr>
          <w:rFonts w:cstheme="minorHAnsi"/>
          <w:b/>
          <w:szCs w:val="20"/>
        </w:rPr>
      </w:pPr>
      <w:r w:rsidRPr="002314BB">
        <w:rPr>
          <w:rFonts w:cstheme="minorHAnsi"/>
          <w:b/>
          <w:szCs w:val="20"/>
        </w:rPr>
        <w:t xml:space="preserve">Vzdelávanie </w:t>
      </w:r>
    </w:p>
    <w:p w14:paraId="42FD248A" w14:textId="77777777" w:rsidR="003660CB" w:rsidRPr="002314BB" w:rsidRDefault="003660CB" w:rsidP="00AB0038">
      <w:pPr>
        <w:pStyle w:val="Bezriadkovania"/>
        <w:ind w:left="284"/>
        <w:jc w:val="both"/>
        <w:rPr>
          <w:rFonts w:cstheme="minorHAnsi"/>
          <w:b/>
          <w:szCs w:val="20"/>
        </w:rPr>
      </w:pPr>
    </w:p>
    <w:tbl>
      <w:tblPr>
        <w:tblStyle w:val="Mriekatabuky"/>
        <w:tblW w:w="14019" w:type="dxa"/>
        <w:tblLook w:val="04A0" w:firstRow="1" w:lastRow="0" w:firstColumn="1" w:lastColumn="0" w:noHBand="0" w:noVBand="1"/>
      </w:tblPr>
      <w:tblGrid>
        <w:gridCol w:w="3671"/>
        <w:gridCol w:w="1134"/>
        <w:gridCol w:w="9214"/>
      </w:tblGrid>
      <w:tr w:rsidR="005B56CD" w:rsidRPr="002314BB" w14:paraId="2FCBF0FB"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4C52485B" w14:textId="77777777" w:rsidR="00B10E50" w:rsidRPr="002314BB" w:rsidRDefault="00B10E50"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0BAEA98D" w14:textId="77777777" w:rsidR="00B10E50" w:rsidRPr="002314BB" w:rsidRDefault="00B10E50"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46AB2C36" w14:textId="77777777" w:rsidR="00B10E50" w:rsidRPr="002314BB" w:rsidRDefault="00B10E50"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5B56CD" w:rsidRPr="002314BB" w14:paraId="4B02C88F" w14:textId="77777777" w:rsidTr="00AB0038">
        <w:trPr>
          <w:trHeight w:val="1767"/>
        </w:trPr>
        <w:tc>
          <w:tcPr>
            <w:tcW w:w="3671" w:type="dxa"/>
            <w:tcBorders>
              <w:top w:val="single" w:sz="12" w:space="0" w:color="auto"/>
              <w:left w:val="single" w:sz="12" w:space="0" w:color="auto"/>
              <w:bottom w:val="single" w:sz="4" w:space="0" w:color="auto"/>
            </w:tcBorders>
            <w:vAlign w:val="center"/>
          </w:tcPr>
          <w:p w14:paraId="3DE88D19" w14:textId="007292FC" w:rsidR="005B56CD" w:rsidRPr="002314BB" w:rsidRDefault="005B56CD" w:rsidP="00526BA4">
            <w:pPr>
              <w:ind w:right="-209"/>
              <w:rPr>
                <w:rFonts w:eastAsia="Times New Roman" w:cstheme="minorHAnsi"/>
                <w:lang w:eastAsia="sk-SK"/>
              </w:rPr>
            </w:pPr>
            <w:r w:rsidRPr="002314BB">
              <w:rPr>
                <w:rFonts w:eastAsia="Times New Roman" w:cstheme="minorHAnsi"/>
                <w:b/>
                <w:lang w:eastAsia="sk-SK"/>
              </w:rPr>
              <w:t>Kapacita podporenej školskej infraštruktúry MŠ/ ZŠ/ SOŠ/</w:t>
            </w:r>
            <w:r w:rsidR="003660CB" w:rsidRPr="002314BB">
              <w:rPr>
                <w:rFonts w:eastAsia="Times New Roman" w:cstheme="minorHAnsi"/>
                <w:b/>
                <w:lang w:eastAsia="sk-SK"/>
              </w:rPr>
              <w:t xml:space="preserve"> </w:t>
            </w:r>
            <w:r w:rsidRPr="002314BB">
              <w:rPr>
                <w:rFonts w:eastAsia="Times New Roman" w:cstheme="minorHAnsi"/>
                <w:b/>
                <w:lang w:eastAsia="sk-SK"/>
              </w:rPr>
              <w:t>RVC</w:t>
            </w:r>
            <w:r w:rsidR="00F0334F" w:rsidRPr="002314BB">
              <w:rPr>
                <w:rStyle w:val="Odkaznapoznmkupodiarou"/>
                <w:rFonts w:asciiTheme="minorHAnsi" w:eastAsia="Times New Roman" w:hAnsiTheme="minorHAnsi" w:cstheme="minorHAnsi"/>
                <w:b/>
                <w:lang w:eastAsia="sk-SK"/>
              </w:rPr>
              <w:footnoteReference w:id="3"/>
            </w:r>
          </w:p>
        </w:tc>
        <w:tc>
          <w:tcPr>
            <w:tcW w:w="1134" w:type="dxa"/>
            <w:tcBorders>
              <w:top w:val="single" w:sz="12" w:space="0" w:color="auto"/>
              <w:bottom w:val="single" w:sz="4" w:space="0" w:color="auto"/>
            </w:tcBorders>
            <w:vAlign w:val="center"/>
          </w:tcPr>
          <w:p w14:paraId="1D79CF9A" w14:textId="05D0AC69" w:rsidR="005B56CD" w:rsidRPr="002314BB" w:rsidRDefault="005B56CD" w:rsidP="005B56CD">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4" w:space="0" w:color="auto"/>
              <w:right w:val="single" w:sz="12" w:space="0" w:color="auto"/>
            </w:tcBorders>
            <w:vAlign w:val="center"/>
          </w:tcPr>
          <w:p w14:paraId="651E006A" w14:textId="6A2AD19B" w:rsidR="005B56CD" w:rsidRPr="002314BB" w:rsidRDefault="005B56CD" w:rsidP="005B56CD">
            <w:pPr>
              <w:pStyle w:val="Bezriadkovania"/>
              <w:jc w:val="both"/>
              <w:rPr>
                <w:rFonts w:cstheme="minorHAnsi"/>
                <w:b/>
              </w:rPr>
            </w:pPr>
            <w:r w:rsidRPr="002314BB">
              <w:rPr>
                <w:rFonts w:eastAsia="Times New Roman" w:cstheme="minorHAnsi"/>
                <w:lang w:eastAsia="sk-SK"/>
              </w:rPr>
              <w:t>Počet užívateľov, ktorí budú používať nové alebo zlepšené zariadenia MŠ/ ZŠ/ SŠ/ RVC.</w:t>
            </w:r>
            <w:r w:rsidR="00CA50C9" w:rsidRPr="002314BB">
              <w:rPr>
                <w:rFonts w:eastAsia="Times New Roman" w:cstheme="minorHAnsi"/>
                <w:lang w:eastAsia="sk-SK"/>
              </w:rPr>
              <w:t xml:space="preserve"> MU sa preukazuje z internej evidencie prijímateľa. </w:t>
            </w:r>
          </w:p>
        </w:tc>
      </w:tr>
      <w:tr w:rsidR="005B56CD" w:rsidRPr="002314BB" w14:paraId="3F610381" w14:textId="77777777" w:rsidTr="00AB0038">
        <w:trPr>
          <w:trHeight w:val="1542"/>
        </w:trPr>
        <w:tc>
          <w:tcPr>
            <w:tcW w:w="3671" w:type="dxa"/>
            <w:tcBorders>
              <w:top w:val="single" w:sz="4" w:space="0" w:color="auto"/>
              <w:left w:val="single" w:sz="12" w:space="0" w:color="auto"/>
              <w:bottom w:val="single" w:sz="4" w:space="0" w:color="auto"/>
            </w:tcBorders>
            <w:shd w:val="clear" w:color="auto" w:fill="auto"/>
            <w:vAlign w:val="center"/>
          </w:tcPr>
          <w:p w14:paraId="44D4FEEC" w14:textId="1C0365DD" w:rsidR="005B56CD" w:rsidRPr="002314BB" w:rsidRDefault="005B56CD" w:rsidP="00526BA4">
            <w:pPr>
              <w:ind w:right="-209"/>
              <w:rPr>
                <w:rFonts w:eastAsia="Times New Roman" w:cstheme="minorHAnsi"/>
                <w:b/>
                <w:bCs/>
                <w:lang w:eastAsia="sk-SK"/>
              </w:rPr>
            </w:pPr>
            <w:r w:rsidRPr="002314BB">
              <w:rPr>
                <w:rFonts w:eastAsia="Times New Roman" w:cstheme="minorHAnsi"/>
                <w:b/>
                <w:lang w:eastAsia="sk-SK"/>
              </w:rPr>
              <w:t>Nárast kapacity podporenej školskej infraštruktúry MŠ/</w:t>
            </w:r>
            <w:r w:rsidR="003660CB" w:rsidRPr="002314BB">
              <w:rPr>
                <w:rFonts w:eastAsia="Times New Roman" w:cstheme="minorHAnsi"/>
                <w:b/>
                <w:lang w:eastAsia="sk-SK"/>
              </w:rPr>
              <w:t xml:space="preserve"> </w:t>
            </w:r>
            <w:r w:rsidRPr="002314BB">
              <w:rPr>
                <w:rFonts w:eastAsia="Times New Roman" w:cstheme="minorHAnsi"/>
                <w:b/>
                <w:lang w:eastAsia="sk-SK"/>
              </w:rPr>
              <w:t>ZŠ/</w:t>
            </w:r>
            <w:r w:rsidR="003660CB" w:rsidRPr="002314BB">
              <w:rPr>
                <w:rFonts w:eastAsia="Times New Roman" w:cstheme="minorHAnsi"/>
                <w:b/>
                <w:lang w:eastAsia="sk-SK"/>
              </w:rPr>
              <w:t xml:space="preserve"> </w:t>
            </w:r>
            <w:r w:rsidRPr="002314BB">
              <w:rPr>
                <w:rFonts w:eastAsia="Times New Roman" w:cstheme="minorHAnsi"/>
                <w:b/>
                <w:lang w:eastAsia="sk-SK"/>
              </w:rPr>
              <w:t>SOŠ/</w:t>
            </w:r>
            <w:r w:rsidR="003660CB" w:rsidRPr="002314BB">
              <w:rPr>
                <w:rFonts w:eastAsia="Times New Roman" w:cstheme="minorHAnsi"/>
                <w:b/>
                <w:lang w:eastAsia="sk-SK"/>
              </w:rPr>
              <w:t xml:space="preserve"> </w:t>
            </w:r>
            <w:r w:rsidRPr="002314BB">
              <w:rPr>
                <w:rFonts w:eastAsia="Times New Roman" w:cstheme="minorHAnsi"/>
                <w:b/>
                <w:lang w:eastAsia="sk-SK"/>
              </w:rPr>
              <w:t>RVC</w:t>
            </w:r>
          </w:p>
        </w:tc>
        <w:tc>
          <w:tcPr>
            <w:tcW w:w="1134" w:type="dxa"/>
            <w:tcBorders>
              <w:top w:val="single" w:sz="4" w:space="0" w:color="auto"/>
              <w:bottom w:val="single" w:sz="4" w:space="0" w:color="auto"/>
            </w:tcBorders>
            <w:vAlign w:val="center"/>
          </w:tcPr>
          <w:p w14:paraId="3A448FEE" w14:textId="198CB9B0" w:rsidR="005B56CD" w:rsidRPr="002314BB" w:rsidRDefault="005B56CD" w:rsidP="005B56CD">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73528263" w14:textId="1D3322FE" w:rsidR="005B56CD" w:rsidRPr="002314BB" w:rsidRDefault="005B56CD" w:rsidP="003660CB">
            <w:pPr>
              <w:pStyle w:val="Bezriadkovania"/>
              <w:jc w:val="both"/>
              <w:rPr>
                <w:rFonts w:cstheme="minorHAnsi"/>
              </w:rPr>
            </w:pPr>
            <w:r w:rsidRPr="002314BB">
              <w:rPr>
                <w:rFonts w:eastAsia="Times New Roman" w:cstheme="minorHAnsi"/>
                <w:lang w:eastAsia="sk-SK"/>
              </w:rPr>
              <w:t>Nárast počtu užívateľov, ktorí budú používať nové alebo zlepšené zariadenia MŠ/</w:t>
            </w:r>
            <w:r w:rsidR="003660CB" w:rsidRPr="002314BB">
              <w:rPr>
                <w:rFonts w:eastAsia="Times New Roman" w:cstheme="minorHAnsi"/>
                <w:lang w:eastAsia="sk-SK"/>
              </w:rPr>
              <w:t> </w:t>
            </w:r>
            <w:r w:rsidRPr="002314BB">
              <w:rPr>
                <w:rFonts w:eastAsia="Times New Roman" w:cstheme="minorHAnsi"/>
                <w:lang w:eastAsia="sk-SK"/>
              </w:rPr>
              <w:t>ZŠ/</w:t>
            </w:r>
            <w:r w:rsidR="003660CB" w:rsidRPr="002314BB">
              <w:rPr>
                <w:rFonts w:eastAsia="Times New Roman" w:cstheme="minorHAnsi"/>
                <w:lang w:eastAsia="sk-SK"/>
              </w:rPr>
              <w:t> </w:t>
            </w:r>
            <w:r w:rsidRPr="002314BB">
              <w:rPr>
                <w:rFonts w:eastAsia="Times New Roman" w:cstheme="minorHAnsi"/>
                <w:lang w:eastAsia="sk-SK"/>
              </w:rPr>
              <w:t>SŠ/</w:t>
            </w:r>
            <w:r w:rsidR="003660CB" w:rsidRPr="002314BB">
              <w:rPr>
                <w:rFonts w:eastAsia="Times New Roman" w:cstheme="minorHAnsi"/>
                <w:lang w:eastAsia="sk-SK"/>
              </w:rPr>
              <w:t> </w:t>
            </w:r>
            <w:r w:rsidRPr="002314BB">
              <w:rPr>
                <w:rFonts w:eastAsia="Times New Roman" w:cstheme="minorHAnsi"/>
                <w:lang w:eastAsia="sk-SK"/>
              </w:rPr>
              <w:t>RVC.</w:t>
            </w:r>
            <w:r w:rsidR="00CA50C9" w:rsidRPr="002314BB">
              <w:rPr>
                <w:rFonts w:eastAsia="Times New Roman" w:cstheme="minorHAnsi"/>
                <w:lang w:eastAsia="sk-SK"/>
              </w:rPr>
              <w:t xml:space="preserve"> MU sa preukazuje z internej evidencie prijímateľa.</w:t>
            </w:r>
          </w:p>
        </w:tc>
      </w:tr>
      <w:tr w:rsidR="005B56CD" w:rsidRPr="002314BB" w14:paraId="355E41D9"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1663C0B3" w14:textId="77777777" w:rsidR="002314BB" w:rsidRDefault="005B56CD" w:rsidP="00526BA4">
            <w:pPr>
              <w:ind w:right="-209"/>
              <w:rPr>
                <w:rFonts w:eastAsia="Times New Roman" w:cstheme="minorHAnsi"/>
                <w:b/>
                <w:lang w:eastAsia="sk-SK"/>
              </w:rPr>
            </w:pPr>
            <w:r w:rsidRPr="002314BB">
              <w:rPr>
                <w:rFonts w:eastAsia="Times New Roman" w:cstheme="minorHAnsi"/>
                <w:b/>
                <w:lang w:eastAsia="sk-SK"/>
              </w:rPr>
              <w:t xml:space="preserve">Počet vybudovaných / rekonštruovaných / vybavených </w:t>
            </w:r>
          </w:p>
          <w:p w14:paraId="07D0494D" w14:textId="12DF2A3A" w:rsidR="005B56CD" w:rsidRPr="002314BB" w:rsidRDefault="005B56CD" w:rsidP="00526BA4">
            <w:pPr>
              <w:ind w:right="-209"/>
              <w:rPr>
                <w:rFonts w:eastAsia="Times New Roman" w:cstheme="minorHAnsi"/>
                <w:b/>
                <w:bCs/>
                <w:lang w:eastAsia="sk-SK"/>
              </w:rPr>
            </w:pPr>
            <w:r w:rsidRPr="002314BB">
              <w:rPr>
                <w:rFonts w:eastAsia="Times New Roman" w:cstheme="minorHAnsi"/>
                <w:b/>
                <w:lang w:eastAsia="sk-SK"/>
              </w:rPr>
              <w:t>učební</w:t>
            </w:r>
          </w:p>
        </w:tc>
        <w:tc>
          <w:tcPr>
            <w:tcW w:w="1134" w:type="dxa"/>
            <w:tcBorders>
              <w:top w:val="single" w:sz="4" w:space="0" w:color="auto"/>
              <w:bottom w:val="single" w:sz="4" w:space="0" w:color="auto"/>
            </w:tcBorders>
            <w:vAlign w:val="center"/>
          </w:tcPr>
          <w:p w14:paraId="5C98D5DA" w14:textId="1E1A81E8" w:rsidR="005B56CD" w:rsidRPr="002314BB" w:rsidRDefault="005B56CD" w:rsidP="005B56CD">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34EE31C4" w14:textId="77777777" w:rsidR="003660CB" w:rsidRPr="002314BB" w:rsidRDefault="005B56CD" w:rsidP="00AB0038">
            <w:pPr>
              <w:pStyle w:val="Bezriadkovania"/>
              <w:rPr>
                <w:rFonts w:eastAsia="Times New Roman" w:cstheme="minorHAnsi"/>
                <w:lang w:eastAsia="sk-SK"/>
              </w:rPr>
            </w:pPr>
            <w:r w:rsidRPr="002314BB">
              <w:rPr>
                <w:rFonts w:eastAsia="Times New Roman" w:cstheme="minorHAnsi"/>
                <w:lang w:eastAsia="sk-SK"/>
              </w:rPr>
              <w:t xml:space="preserve">Počet učební, ktoré dostávajú podporu z RP. Viac učební môže byť </w:t>
            </w:r>
            <w:r w:rsidR="00A446BA" w:rsidRPr="002314BB">
              <w:rPr>
                <w:rFonts w:eastAsia="Times New Roman" w:cstheme="minorHAnsi"/>
                <w:lang w:eastAsia="sk-SK"/>
              </w:rPr>
              <w:t>podporených</w:t>
            </w:r>
            <w:r w:rsidRPr="002314BB">
              <w:rPr>
                <w:rFonts w:eastAsia="Times New Roman" w:cstheme="minorHAnsi"/>
                <w:lang w:eastAsia="sk-SK"/>
              </w:rPr>
              <w:t xml:space="preserve"> v rámci jednej školy.</w:t>
            </w:r>
            <w:r w:rsidR="00CA50C9" w:rsidRPr="002314BB">
              <w:rPr>
                <w:rFonts w:eastAsia="Times New Roman" w:cstheme="minorHAnsi"/>
                <w:lang w:eastAsia="sk-SK"/>
              </w:rPr>
              <w:t xml:space="preserve"> </w:t>
            </w:r>
          </w:p>
          <w:p w14:paraId="6E5105F4" w14:textId="0955A02A" w:rsidR="005B56CD" w:rsidRPr="002314BB" w:rsidRDefault="00CA50C9" w:rsidP="00AB0038">
            <w:pPr>
              <w:pStyle w:val="Bezriadkovania"/>
              <w:rPr>
                <w:rFonts w:cstheme="minorHAnsi"/>
              </w:rPr>
            </w:pPr>
            <w:r w:rsidRPr="002314BB">
              <w:rPr>
                <w:rFonts w:eastAsia="Times New Roman" w:cstheme="minorHAnsi"/>
                <w:lang w:eastAsia="sk-SK"/>
              </w:rPr>
              <w:t>MU vychádza z predloženej projektovej dokumentácie/</w:t>
            </w:r>
            <w:r w:rsidR="00801A78" w:rsidRPr="002314BB">
              <w:rPr>
                <w:rFonts w:eastAsia="Times New Roman" w:cstheme="minorHAnsi"/>
                <w:lang w:eastAsia="sk-SK"/>
              </w:rPr>
              <w:t>projektovej dokumentácie skutočného vyhotovenia/</w:t>
            </w:r>
            <w:r w:rsidRPr="002314BB">
              <w:rPr>
                <w:rFonts w:eastAsia="Times New Roman" w:cstheme="minorHAnsi"/>
                <w:lang w:eastAsia="sk-SK"/>
              </w:rPr>
              <w:t>z predloženého stavebného povolenia/ohlásenia</w:t>
            </w:r>
            <w:r w:rsidR="00801A78" w:rsidRPr="002314BB">
              <w:rPr>
                <w:rFonts w:eastAsia="Times New Roman" w:cstheme="minorHAnsi"/>
                <w:lang w:eastAsia="sk-SK"/>
              </w:rPr>
              <w:t xml:space="preserve"> drobnej stavby a podobne. </w:t>
            </w:r>
          </w:p>
        </w:tc>
      </w:tr>
      <w:tr w:rsidR="008035C8" w:rsidRPr="002314BB" w14:paraId="39095EB0" w14:textId="77777777" w:rsidTr="00AB0038">
        <w:trPr>
          <w:trHeight w:val="1412"/>
        </w:trPr>
        <w:tc>
          <w:tcPr>
            <w:tcW w:w="3671" w:type="dxa"/>
            <w:tcBorders>
              <w:top w:val="single" w:sz="4" w:space="0" w:color="auto"/>
              <w:left w:val="single" w:sz="12" w:space="0" w:color="auto"/>
              <w:bottom w:val="single" w:sz="12" w:space="0" w:color="auto"/>
            </w:tcBorders>
            <w:shd w:val="clear" w:color="auto" w:fill="auto"/>
            <w:vAlign w:val="center"/>
          </w:tcPr>
          <w:p w14:paraId="453CE2DD" w14:textId="74FDA51B" w:rsidR="008035C8" w:rsidRPr="002314BB" w:rsidRDefault="008035C8" w:rsidP="00C15565">
            <w:pPr>
              <w:ind w:right="-103"/>
              <w:rPr>
                <w:rFonts w:eastAsia="Times New Roman" w:cstheme="minorHAnsi"/>
                <w:b/>
                <w:lang w:eastAsia="sk-SK"/>
              </w:rPr>
            </w:pPr>
            <w:r w:rsidRPr="002314BB">
              <w:rPr>
                <w:rFonts w:eastAsia="Times New Roman" w:cstheme="minorHAnsi"/>
                <w:b/>
                <w:lang w:eastAsia="sk-SK"/>
              </w:rPr>
              <w:t>Rozloha podporených areálov MŠ/ZŠ/ SŠ</w:t>
            </w:r>
          </w:p>
        </w:tc>
        <w:tc>
          <w:tcPr>
            <w:tcW w:w="1134" w:type="dxa"/>
            <w:tcBorders>
              <w:top w:val="single" w:sz="4" w:space="0" w:color="auto"/>
              <w:bottom w:val="single" w:sz="12" w:space="0" w:color="auto"/>
            </w:tcBorders>
            <w:vAlign w:val="center"/>
          </w:tcPr>
          <w:p w14:paraId="4BD81306" w14:textId="41B3F020" w:rsidR="008035C8" w:rsidRPr="002314BB" w:rsidRDefault="008035C8" w:rsidP="008035C8">
            <w:pPr>
              <w:jc w:val="center"/>
              <w:rPr>
                <w:rFonts w:eastAsia="Times New Roman" w:cstheme="minorHAnsi"/>
                <w:lang w:eastAsia="sk-SK"/>
              </w:rPr>
            </w:pPr>
            <w:r w:rsidRPr="002314BB">
              <w:rPr>
                <w:rFonts w:eastAsia="Times New Roman" w:cstheme="minorHAnsi"/>
                <w:lang w:eastAsia="sk-SK"/>
              </w:rPr>
              <w:t>m2</w:t>
            </w:r>
          </w:p>
        </w:tc>
        <w:tc>
          <w:tcPr>
            <w:tcW w:w="9214" w:type="dxa"/>
            <w:tcBorders>
              <w:top w:val="single" w:sz="4" w:space="0" w:color="auto"/>
              <w:bottom w:val="single" w:sz="12" w:space="0" w:color="auto"/>
              <w:right w:val="single" w:sz="12" w:space="0" w:color="auto"/>
            </w:tcBorders>
            <w:vAlign w:val="center"/>
          </w:tcPr>
          <w:p w14:paraId="032B21A0" w14:textId="77777777" w:rsidR="003660CB" w:rsidRPr="002314BB" w:rsidRDefault="008035C8">
            <w:pPr>
              <w:pStyle w:val="Bezriadkovania"/>
              <w:jc w:val="both"/>
              <w:rPr>
                <w:rFonts w:eastAsia="Times New Roman" w:cstheme="minorHAnsi"/>
                <w:lang w:eastAsia="sk-SK"/>
              </w:rPr>
            </w:pPr>
            <w:r w:rsidRPr="002314BB">
              <w:rPr>
                <w:rFonts w:eastAsia="Times New Roman" w:cstheme="minorHAnsi"/>
                <w:lang w:eastAsia="sk-SK"/>
              </w:rPr>
              <w:t xml:space="preserve">Napríklad ihriská, športové zariadenia, záhrady. </w:t>
            </w:r>
          </w:p>
          <w:p w14:paraId="3B5EA5BF" w14:textId="102F1564" w:rsidR="008035C8" w:rsidRPr="002314BB" w:rsidRDefault="00801A78">
            <w:pPr>
              <w:pStyle w:val="Bezriadkovania"/>
              <w:jc w:val="both"/>
              <w:rPr>
                <w:rFonts w:eastAsia="Times New Roman" w:cstheme="minorHAnsi"/>
                <w:lang w:eastAsia="sk-SK"/>
              </w:rPr>
            </w:pPr>
            <w:r w:rsidRPr="002314BB">
              <w:rPr>
                <w:rFonts w:eastAsia="Times New Roman" w:cstheme="minorHAnsi"/>
                <w:lang w:eastAsia="sk-SK"/>
              </w:rPr>
              <w:t>MU vychádza z predloženej projektovej dokumentácie</w:t>
            </w:r>
            <w:r w:rsidR="00C15565" w:rsidRPr="002314BB">
              <w:rPr>
                <w:rFonts w:eastAsia="Times New Roman" w:cstheme="minorHAnsi"/>
                <w:lang w:eastAsia="sk-SK"/>
              </w:rPr>
              <w:t xml:space="preserve">; </w:t>
            </w:r>
            <w:r w:rsidRPr="002314BB">
              <w:rPr>
                <w:rFonts w:eastAsia="Times New Roman" w:cstheme="minorHAnsi"/>
                <w:lang w:eastAsia="sk-SK"/>
              </w:rPr>
              <w:t>projektovej dokumentácie skutočného vyhotovenia</w:t>
            </w:r>
            <w:r w:rsidR="00C15565" w:rsidRPr="002314BB">
              <w:rPr>
                <w:rFonts w:eastAsia="Times New Roman" w:cstheme="minorHAnsi"/>
                <w:lang w:eastAsia="sk-SK"/>
              </w:rPr>
              <w:t xml:space="preserve">; </w:t>
            </w:r>
            <w:r w:rsidRPr="002314BB">
              <w:rPr>
                <w:rFonts w:eastAsia="Times New Roman" w:cstheme="minorHAnsi"/>
                <w:lang w:eastAsia="sk-SK"/>
              </w:rPr>
              <w:t>z predloženého stavebného povolenia</w:t>
            </w:r>
            <w:r w:rsidR="00C15565" w:rsidRPr="002314BB">
              <w:rPr>
                <w:rFonts w:eastAsia="Times New Roman" w:cstheme="minorHAnsi"/>
                <w:lang w:eastAsia="sk-SK"/>
              </w:rPr>
              <w:t xml:space="preserve">; </w:t>
            </w:r>
            <w:r w:rsidRPr="002314BB">
              <w:rPr>
                <w:rFonts w:eastAsia="Times New Roman" w:cstheme="minorHAnsi"/>
                <w:lang w:eastAsia="sk-SK"/>
              </w:rPr>
              <w:t>ohlásenia drobnej stavby a podobne.</w:t>
            </w:r>
          </w:p>
        </w:tc>
      </w:tr>
    </w:tbl>
    <w:p w14:paraId="2CD29545" w14:textId="65199ACA" w:rsidR="00F0334F" w:rsidRPr="002314BB" w:rsidRDefault="00F0334F" w:rsidP="00B10E50">
      <w:pPr>
        <w:pStyle w:val="Bezriadkovania"/>
        <w:jc w:val="both"/>
        <w:rPr>
          <w:rFonts w:cstheme="minorHAnsi"/>
          <w:b/>
        </w:rPr>
      </w:pPr>
    </w:p>
    <w:p w14:paraId="225415A5" w14:textId="77777777" w:rsidR="00F0334F" w:rsidRPr="002314BB" w:rsidRDefault="00F0334F">
      <w:pPr>
        <w:rPr>
          <w:rFonts w:cstheme="minorHAnsi"/>
          <w:b/>
        </w:rPr>
      </w:pPr>
      <w:r w:rsidRPr="002314BB">
        <w:rPr>
          <w:rFonts w:cstheme="minorHAnsi"/>
          <w:b/>
        </w:rPr>
        <w:br w:type="page"/>
      </w:r>
    </w:p>
    <w:p w14:paraId="59BB8026" w14:textId="19C7B363" w:rsidR="00FB637C" w:rsidRPr="002314BB" w:rsidRDefault="00FB637C" w:rsidP="00FB637C">
      <w:pPr>
        <w:pStyle w:val="Bezriadkovania"/>
        <w:numPr>
          <w:ilvl w:val="0"/>
          <w:numId w:val="7"/>
        </w:numPr>
        <w:ind w:left="284" w:hanging="284"/>
        <w:jc w:val="both"/>
        <w:rPr>
          <w:rFonts w:cstheme="minorHAnsi"/>
          <w:b/>
          <w:szCs w:val="20"/>
        </w:rPr>
      </w:pPr>
      <w:r w:rsidRPr="002314BB">
        <w:rPr>
          <w:rFonts w:cstheme="minorHAnsi"/>
          <w:b/>
          <w:szCs w:val="20"/>
        </w:rPr>
        <w:lastRenderedPageBreak/>
        <w:t xml:space="preserve">Sociálne služby </w:t>
      </w:r>
    </w:p>
    <w:p w14:paraId="543BE414" w14:textId="09300D98" w:rsidR="00FB637C" w:rsidRPr="002314BB" w:rsidRDefault="00FB637C" w:rsidP="00FB637C">
      <w:pPr>
        <w:pStyle w:val="Bezriadkovania"/>
        <w:jc w:val="both"/>
        <w:rPr>
          <w:rFonts w:cstheme="minorHAnsi"/>
          <w:b/>
        </w:rPr>
      </w:pPr>
    </w:p>
    <w:tbl>
      <w:tblPr>
        <w:tblStyle w:val="Mriekatabuky"/>
        <w:tblW w:w="14019" w:type="dxa"/>
        <w:tblLook w:val="04A0" w:firstRow="1" w:lastRow="0" w:firstColumn="1" w:lastColumn="0" w:noHBand="0" w:noVBand="1"/>
      </w:tblPr>
      <w:tblGrid>
        <w:gridCol w:w="3671"/>
        <w:gridCol w:w="1134"/>
        <w:gridCol w:w="9214"/>
      </w:tblGrid>
      <w:tr w:rsidR="00FB637C" w:rsidRPr="002314BB" w14:paraId="0AD14FD8"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27328E76" w14:textId="77777777" w:rsidR="00FB637C" w:rsidRPr="002314BB" w:rsidRDefault="00FB637C"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599013D7"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07560A2F"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FB637C" w:rsidRPr="002314BB" w14:paraId="7D214186" w14:textId="77777777" w:rsidTr="00AB0038">
        <w:trPr>
          <w:trHeight w:val="2023"/>
        </w:trPr>
        <w:tc>
          <w:tcPr>
            <w:tcW w:w="3671" w:type="dxa"/>
            <w:tcBorders>
              <w:top w:val="single" w:sz="12" w:space="0" w:color="auto"/>
              <w:left w:val="single" w:sz="12" w:space="0" w:color="auto"/>
              <w:bottom w:val="single" w:sz="4" w:space="0" w:color="auto"/>
            </w:tcBorders>
            <w:vAlign w:val="center"/>
          </w:tcPr>
          <w:p w14:paraId="1AF0CFBD" w14:textId="16CCC995" w:rsidR="00FB637C" w:rsidRPr="002314BB" w:rsidRDefault="00FB637C" w:rsidP="00526BA4">
            <w:pPr>
              <w:ind w:right="-209"/>
              <w:rPr>
                <w:rFonts w:eastAsia="Times New Roman" w:cstheme="minorHAnsi"/>
                <w:lang w:eastAsia="sk-SK"/>
              </w:rPr>
            </w:pPr>
            <w:r w:rsidRPr="002314BB">
              <w:rPr>
                <w:rFonts w:eastAsia="Times New Roman" w:cstheme="minorHAnsi"/>
                <w:b/>
                <w:lang w:eastAsia="sk-SK"/>
              </w:rPr>
              <w:t>Nárast kapacity rozšírenej infraštruktúry poskytovateľov sociálnych služieb (DSS</w:t>
            </w:r>
            <w:r w:rsidR="00F0334F" w:rsidRPr="002314BB">
              <w:rPr>
                <w:rStyle w:val="Odkaznapoznmkupodiarou"/>
                <w:rFonts w:asciiTheme="minorHAnsi" w:eastAsia="Times New Roman" w:hAnsiTheme="minorHAnsi" w:cstheme="minorHAnsi"/>
                <w:b/>
                <w:lang w:eastAsia="sk-SK"/>
              </w:rPr>
              <w:footnoteReference w:id="4"/>
            </w:r>
            <w:r w:rsidRPr="002314BB">
              <w:rPr>
                <w:rFonts w:eastAsia="Times New Roman" w:cstheme="minorHAnsi"/>
                <w:b/>
                <w:lang w:eastAsia="sk-SK"/>
              </w:rPr>
              <w:t>, denné stacionáre a pod.)</w:t>
            </w:r>
          </w:p>
        </w:tc>
        <w:tc>
          <w:tcPr>
            <w:tcW w:w="1134" w:type="dxa"/>
            <w:tcBorders>
              <w:top w:val="single" w:sz="12" w:space="0" w:color="auto"/>
              <w:bottom w:val="single" w:sz="4" w:space="0" w:color="auto"/>
            </w:tcBorders>
            <w:vAlign w:val="center"/>
          </w:tcPr>
          <w:p w14:paraId="235E36F7" w14:textId="3D4AC58F" w:rsidR="00FB637C" w:rsidRPr="002314BB" w:rsidRDefault="00FB637C" w:rsidP="00FB637C">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4" w:space="0" w:color="auto"/>
              <w:right w:val="single" w:sz="12" w:space="0" w:color="auto"/>
            </w:tcBorders>
            <w:vAlign w:val="center"/>
          </w:tcPr>
          <w:p w14:paraId="706F6922" w14:textId="554E9596" w:rsidR="00FB637C" w:rsidRPr="002314BB" w:rsidRDefault="00FB637C" w:rsidP="00FB637C">
            <w:pPr>
              <w:pStyle w:val="Bezriadkovania"/>
              <w:jc w:val="both"/>
              <w:rPr>
                <w:rFonts w:cstheme="minorHAnsi"/>
                <w:b/>
              </w:rPr>
            </w:pPr>
            <w:r w:rsidRPr="002314BB">
              <w:rPr>
                <w:rFonts w:eastAsia="Times New Roman" w:cstheme="minorHAnsi"/>
                <w:lang w:eastAsia="sk-SK"/>
              </w:rPr>
              <w:t>Nárast počtu nových miest pre užívateľov služieb poskytovateľa.</w:t>
            </w:r>
            <w:r w:rsidR="00801A78" w:rsidRPr="002314BB">
              <w:rPr>
                <w:rFonts w:eastAsia="Times New Roman" w:cstheme="minorHAnsi"/>
                <w:lang w:eastAsia="sk-SK"/>
              </w:rPr>
              <w:t xml:space="preserve"> MU sa preukazuje z internej evidencie prijímateľa.</w:t>
            </w:r>
          </w:p>
        </w:tc>
      </w:tr>
      <w:tr w:rsidR="00FB637C" w:rsidRPr="002314BB" w14:paraId="3E9191F2" w14:textId="77777777" w:rsidTr="00AB0038">
        <w:trPr>
          <w:trHeight w:val="1955"/>
        </w:trPr>
        <w:tc>
          <w:tcPr>
            <w:tcW w:w="3671" w:type="dxa"/>
            <w:tcBorders>
              <w:top w:val="single" w:sz="4" w:space="0" w:color="auto"/>
              <w:left w:val="single" w:sz="12" w:space="0" w:color="auto"/>
              <w:bottom w:val="single" w:sz="12" w:space="0" w:color="auto"/>
            </w:tcBorders>
            <w:shd w:val="clear" w:color="auto" w:fill="auto"/>
            <w:vAlign w:val="center"/>
          </w:tcPr>
          <w:p w14:paraId="7FDB9B66" w14:textId="21539329" w:rsidR="00FB637C" w:rsidRPr="002314BB" w:rsidRDefault="00FB637C" w:rsidP="00526BA4">
            <w:pPr>
              <w:ind w:right="-209"/>
              <w:rPr>
                <w:rFonts w:eastAsia="Times New Roman" w:cstheme="minorHAnsi"/>
                <w:b/>
                <w:bCs/>
                <w:lang w:eastAsia="sk-SK"/>
              </w:rPr>
            </w:pPr>
            <w:r w:rsidRPr="002314BB">
              <w:rPr>
                <w:rFonts w:eastAsia="Times New Roman" w:cstheme="minorHAnsi"/>
                <w:b/>
                <w:szCs w:val="20"/>
                <w:lang w:eastAsia="sk-SK"/>
              </w:rPr>
              <w:t>Kapacita</w:t>
            </w:r>
            <w:r w:rsidRPr="002314BB">
              <w:rPr>
                <w:rFonts w:eastAsia="Times New Roman" w:cstheme="minorHAnsi"/>
                <w:b/>
                <w:sz w:val="24"/>
                <w:lang w:eastAsia="sk-SK"/>
              </w:rPr>
              <w:t xml:space="preserve"> </w:t>
            </w:r>
            <w:r w:rsidRPr="002314BB">
              <w:rPr>
                <w:rFonts w:eastAsia="Times New Roman" w:cstheme="minorHAnsi"/>
                <w:b/>
                <w:lang w:eastAsia="sk-SK"/>
              </w:rPr>
              <w:t>podporenej infraštruktúry poskytovateľov sociálnych služieb (DSS, denné stacionáre a pod.)</w:t>
            </w:r>
          </w:p>
        </w:tc>
        <w:tc>
          <w:tcPr>
            <w:tcW w:w="1134" w:type="dxa"/>
            <w:tcBorders>
              <w:top w:val="single" w:sz="4" w:space="0" w:color="auto"/>
              <w:bottom w:val="single" w:sz="12" w:space="0" w:color="auto"/>
            </w:tcBorders>
            <w:shd w:val="clear" w:color="auto" w:fill="auto"/>
            <w:vAlign w:val="center"/>
          </w:tcPr>
          <w:p w14:paraId="26E5A3A6" w14:textId="6650714E" w:rsidR="00FB637C" w:rsidRPr="002314BB" w:rsidRDefault="00FB637C" w:rsidP="00FB637C">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12" w:space="0" w:color="auto"/>
              <w:right w:val="single" w:sz="12" w:space="0" w:color="auto"/>
            </w:tcBorders>
            <w:shd w:val="clear" w:color="auto" w:fill="auto"/>
            <w:vAlign w:val="center"/>
          </w:tcPr>
          <w:p w14:paraId="52C3DA11" w14:textId="62540A6F" w:rsidR="00FB637C" w:rsidRPr="002314BB" w:rsidRDefault="00FB637C" w:rsidP="00FB637C">
            <w:pPr>
              <w:pStyle w:val="Bezriadkovania"/>
              <w:jc w:val="both"/>
              <w:rPr>
                <w:rFonts w:cstheme="minorHAnsi"/>
              </w:rPr>
            </w:pPr>
            <w:r w:rsidRPr="002314BB">
              <w:rPr>
                <w:rFonts w:eastAsia="Times New Roman" w:cstheme="minorHAnsi"/>
                <w:szCs w:val="20"/>
                <w:lang w:eastAsia="sk-SK"/>
              </w:rPr>
              <w:t>Počet užívateľov, ktorí budú používať nové alebo zlepšené vybavenie.</w:t>
            </w:r>
            <w:r w:rsidR="00801A78" w:rsidRPr="002314BB">
              <w:rPr>
                <w:rFonts w:eastAsia="Times New Roman" w:cstheme="minorHAnsi"/>
                <w:szCs w:val="20"/>
                <w:lang w:eastAsia="sk-SK"/>
              </w:rPr>
              <w:t xml:space="preserve"> </w:t>
            </w:r>
            <w:r w:rsidR="00801A78" w:rsidRPr="002314BB">
              <w:rPr>
                <w:rFonts w:eastAsia="Times New Roman" w:cstheme="minorHAnsi"/>
                <w:lang w:eastAsia="sk-SK"/>
              </w:rPr>
              <w:t>MU sa preukazuje z internej evidencie prijímateľa.</w:t>
            </w:r>
          </w:p>
        </w:tc>
      </w:tr>
    </w:tbl>
    <w:p w14:paraId="13864741" w14:textId="2A403C20" w:rsidR="00FB637C" w:rsidRDefault="00FB637C" w:rsidP="00FB637C">
      <w:pPr>
        <w:pStyle w:val="Bezriadkovania"/>
        <w:jc w:val="both"/>
        <w:rPr>
          <w:rFonts w:cstheme="minorHAnsi"/>
          <w:b/>
        </w:rPr>
      </w:pPr>
    </w:p>
    <w:p w14:paraId="7D4F5D28" w14:textId="6CCA66C1" w:rsidR="002314BB" w:rsidRDefault="002314BB" w:rsidP="00FB637C">
      <w:pPr>
        <w:pStyle w:val="Bezriadkovania"/>
        <w:jc w:val="both"/>
        <w:rPr>
          <w:rFonts w:cstheme="minorHAnsi"/>
          <w:b/>
        </w:rPr>
      </w:pPr>
    </w:p>
    <w:p w14:paraId="2BD4E87C" w14:textId="274EA0CD" w:rsidR="002314BB" w:rsidRDefault="002314BB" w:rsidP="00FB637C">
      <w:pPr>
        <w:pStyle w:val="Bezriadkovania"/>
        <w:jc w:val="both"/>
        <w:rPr>
          <w:rFonts w:cstheme="minorHAnsi"/>
          <w:b/>
        </w:rPr>
      </w:pPr>
    </w:p>
    <w:p w14:paraId="0E7BB204" w14:textId="2C3B9418" w:rsidR="002314BB" w:rsidRDefault="002314BB" w:rsidP="00FB637C">
      <w:pPr>
        <w:pStyle w:val="Bezriadkovania"/>
        <w:jc w:val="both"/>
        <w:rPr>
          <w:rFonts w:cstheme="minorHAnsi"/>
          <w:b/>
        </w:rPr>
      </w:pPr>
    </w:p>
    <w:p w14:paraId="04AD2BEC" w14:textId="1A15C418" w:rsidR="002314BB" w:rsidRDefault="002314BB" w:rsidP="00FB637C">
      <w:pPr>
        <w:pStyle w:val="Bezriadkovania"/>
        <w:jc w:val="both"/>
        <w:rPr>
          <w:rFonts w:cstheme="minorHAnsi"/>
          <w:b/>
        </w:rPr>
      </w:pPr>
    </w:p>
    <w:p w14:paraId="50108345" w14:textId="42FCE8C4" w:rsidR="002314BB" w:rsidRDefault="002314BB" w:rsidP="00FB637C">
      <w:pPr>
        <w:pStyle w:val="Bezriadkovania"/>
        <w:jc w:val="both"/>
        <w:rPr>
          <w:rFonts w:cstheme="minorHAnsi"/>
          <w:b/>
        </w:rPr>
      </w:pPr>
    </w:p>
    <w:p w14:paraId="7B7A75CD" w14:textId="62AE0515" w:rsidR="002314BB" w:rsidRDefault="002314BB" w:rsidP="00FB637C">
      <w:pPr>
        <w:pStyle w:val="Bezriadkovania"/>
        <w:jc w:val="both"/>
        <w:rPr>
          <w:rFonts w:cstheme="minorHAnsi"/>
          <w:b/>
        </w:rPr>
      </w:pPr>
    </w:p>
    <w:p w14:paraId="4905D125" w14:textId="06EA21A6" w:rsidR="002314BB" w:rsidRDefault="002314BB" w:rsidP="00FB637C">
      <w:pPr>
        <w:pStyle w:val="Bezriadkovania"/>
        <w:jc w:val="both"/>
        <w:rPr>
          <w:rFonts w:cstheme="minorHAnsi"/>
          <w:b/>
        </w:rPr>
      </w:pPr>
    </w:p>
    <w:p w14:paraId="5F199C51" w14:textId="193E9A3F" w:rsidR="002314BB" w:rsidRDefault="002314BB" w:rsidP="00FB637C">
      <w:pPr>
        <w:pStyle w:val="Bezriadkovania"/>
        <w:jc w:val="both"/>
        <w:rPr>
          <w:rFonts w:cstheme="minorHAnsi"/>
          <w:b/>
        </w:rPr>
      </w:pPr>
    </w:p>
    <w:p w14:paraId="11B03037" w14:textId="055FAA79" w:rsidR="002314BB" w:rsidRDefault="002314BB" w:rsidP="00FB637C">
      <w:pPr>
        <w:pStyle w:val="Bezriadkovania"/>
        <w:jc w:val="both"/>
        <w:rPr>
          <w:rFonts w:cstheme="minorHAnsi"/>
          <w:b/>
        </w:rPr>
      </w:pPr>
    </w:p>
    <w:p w14:paraId="421B99D5" w14:textId="298CE23A" w:rsidR="002314BB" w:rsidRDefault="002314BB" w:rsidP="00FB637C">
      <w:pPr>
        <w:pStyle w:val="Bezriadkovania"/>
        <w:jc w:val="both"/>
        <w:rPr>
          <w:rFonts w:cstheme="minorHAnsi"/>
          <w:b/>
        </w:rPr>
      </w:pPr>
    </w:p>
    <w:p w14:paraId="1CCF89CA" w14:textId="77777777" w:rsidR="002314BB" w:rsidRPr="002314BB" w:rsidRDefault="002314BB" w:rsidP="00FB637C">
      <w:pPr>
        <w:pStyle w:val="Bezriadkovania"/>
        <w:jc w:val="both"/>
        <w:rPr>
          <w:rFonts w:cstheme="minorHAnsi"/>
          <w:b/>
        </w:rPr>
      </w:pPr>
    </w:p>
    <w:p w14:paraId="1BCB484A" w14:textId="309E425E" w:rsidR="00FB637C" w:rsidRPr="002314BB" w:rsidRDefault="00FB637C" w:rsidP="00FB637C">
      <w:pPr>
        <w:pStyle w:val="Bezriadkovania"/>
        <w:numPr>
          <w:ilvl w:val="0"/>
          <w:numId w:val="7"/>
        </w:numPr>
        <w:ind w:left="284" w:hanging="284"/>
        <w:jc w:val="both"/>
        <w:rPr>
          <w:rFonts w:cstheme="minorHAnsi"/>
          <w:b/>
          <w:szCs w:val="20"/>
        </w:rPr>
      </w:pPr>
      <w:r w:rsidRPr="002314BB">
        <w:rPr>
          <w:rFonts w:cstheme="minorHAnsi"/>
          <w:b/>
          <w:szCs w:val="20"/>
        </w:rPr>
        <w:lastRenderedPageBreak/>
        <w:t xml:space="preserve">Podpora marginalizovaných rómskych komunít </w:t>
      </w:r>
    </w:p>
    <w:p w14:paraId="27B19EF7" w14:textId="77777777" w:rsidR="00FB637C" w:rsidRPr="002314BB" w:rsidRDefault="00FB637C" w:rsidP="00FB637C">
      <w:pPr>
        <w:pStyle w:val="Bezriadkovania"/>
        <w:ind w:left="284"/>
        <w:jc w:val="both"/>
        <w:rPr>
          <w:rFonts w:cstheme="minorHAnsi"/>
          <w:b/>
          <w:szCs w:val="20"/>
        </w:rPr>
      </w:pPr>
    </w:p>
    <w:tbl>
      <w:tblPr>
        <w:tblStyle w:val="Mriekatabuky"/>
        <w:tblW w:w="14019" w:type="dxa"/>
        <w:tblLayout w:type="fixed"/>
        <w:tblLook w:val="04A0" w:firstRow="1" w:lastRow="0" w:firstColumn="1" w:lastColumn="0" w:noHBand="0" w:noVBand="1"/>
      </w:tblPr>
      <w:tblGrid>
        <w:gridCol w:w="3671"/>
        <w:gridCol w:w="1134"/>
        <w:gridCol w:w="9214"/>
      </w:tblGrid>
      <w:tr w:rsidR="00FB637C" w:rsidRPr="002314BB" w14:paraId="0FF46594"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41005D17" w14:textId="77777777" w:rsidR="00FB637C" w:rsidRPr="002314BB" w:rsidRDefault="00FB637C"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46001E7C"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0D9E60CE"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596C26" w:rsidRPr="002314BB" w14:paraId="0C14CD6F" w14:textId="77777777" w:rsidTr="00AB0038">
        <w:trPr>
          <w:trHeight w:val="1893"/>
        </w:trPr>
        <w:tc>
          <w:tcPr>
            <w:tcW w:w="3671" w:type="dxa"/>
            <w:tcBorders>
              <w:top w:val="single" w:sz="12" w:space="0" w:color="auto"/>
              <w:left w:val="single" w:sz="12" w:space="0" w:color="auto"/>
              <w:bottom w:val="single" w:sz="4" w:space="0" w:color="auto"/>
            </w:tcBorders>
            <w:shd w:val="clear" w:color="auto" w:fill="auto"/>
            <w:vAlign w:val="center"/>
          </w:tcPr>
          <w:p w14:paraId="2DE98EB9" w14:textId="2FC0275F" w:rsidR="00596C26" w:rsidRPr="002314BB" w:rsidRDefault="00596C26" w:rsidP="00526BA4">
            <w:pPr>
              <w:rPr>
                <w:rFonts w:eastAsia="Times New Roman" w:cstheme="minorHAnsi"/>
                <w:lang w:eastAsia="sk-SK"/>
              </w:rPr>
            </w:pPr>
            <w:r w:rsidRPr="002314BB">
              <w:rPr>
                <w:rFonts w:cstheme="minorHAnsi"/>
                <w:b/>
              </w:rPr>
              <w:t>Počet novovybudovaných bytových jednotiek pre MRK</w:t>
            </w:r>
            <w:r w:rsidR="00F0334F" w:rsidRPr="002314BB">
              <w:rPr>
                <w:rStyle w:val="Odkaznapoznmkupodiarou"/>
                <w:rFonts w:asciiTheme="minorHAnsi" w:hAnsiTheme="minorHAnsi" w:cstheme="minorHAnsi"/>
                <w:b/>
              </w:rPr>
              <w:footnoteReference w:id="5"/>
            </w:r>
            <w:r w:rsidRPr="002314BB">
              <w:rPr>
                <w:rFonts w:cstheme="minorHAnsi"/>
                <w:b/>
              </w:rPr>
              <w:t xml:space="preserve"> na zabezpečenie nájomného bývania</w:t>
            </w:r>
          </w:p>
        </w:tc>
        <w:tc>
          <w:tcPr>
            <w:tcW w:w="1134" w:type="dxa"/>
            <w:tcBorders>
              <w:top w:val="single" w:sz="12" w:space="0" w:color="auto"/>
              <w:bottom w:val="single" w:sz="4" w:space="0" w:color="auto"/>
            </w:tcBorders>
            <w:vAlign w:val="center"/>
          </w:tcPr>
          <w:p w14:paraId="74150C45" w14:textId="350202A0"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4" w:space="0" w:color="auto"/>
              <w:right w:val="single" w:sz="12" w:space="0" w:color="auto"/>
            </w:tcBorders>
            <w:vAlign w:val="center"/>
          </w:tcPr>
          <w:p w14:paraId="6684B4B1" w14:textId="3E4E1BD6" w:rsidR="00596C26" w:rsidRPr="002314BB" w:rsidRDefault="009E3FCA" w:rsidP="00FB5C2D">
            <w:pPr>
              <w:pStyle w:val="Bezriadkovania"/>
              <w:jc w:val="both"/>
              <w:rPr>
                <w:rFonts w:cstheme="minorHAnsi"/>
                <w:b/>
              </w:rPr>
            </w:pPr>
            <w:r w:rsidRPr="002314BB">
              <w:rPr>
                <w:rFonts w:cstheme="minorHAnsi"/>
              </w:rPr>
              <w:t>Počet novovybudovaných bytových jednotiek pre MRK na zabezpečenie nájomného bývania s prvkami prestupného bývania, ktoré vznikli v dôsledku realizácie projektu</w:t>
            </w:r>
            <w:r w:rsidR="003028A1" w:rsidRPr="002314BB">
              <w:rPr>
                <w:rFonts w:cstheme="minorHAnsi"/>
              </w:rPr>
              <w:t>.</w:t>
            </w:r>
            <w:r w:rsidR="00801A78" w:rsidRPr="002314BB">
              <w:rPr>
                <w:rFonts w:cstheme="minorHAnsi"/>
              </w:rPr>
              <w:t xml:space="preserve"> </w:t>
            </w:r>
            <w:r w:rsidR="00801A78" w:rsidRPr="002314BB">
              <w:rPr>
                <w:rFonts w:eastAsia="Times New Roman" w:cstheme="minorHAnsi"/>
                <w:lang w:eastAsia="sk-SK"/>
              </w:rPr>
              <w:t>MU sa preukazuje z internej evidencie prijímateľa. MU vychádza z predloženej projektovej dokumentácie/projektovej dokumentácie skutočného vyhotovenia/z predloženého stavebného povolenia/ohlásenia drobnej stavby a podobne.</w:t>
            </w:r>
          </w:p>
        </w:tc>
      </w:tr>
      <w:tr w:rsidR="00596C26" w:rsidRPr="002314BB" w14:paraId="049B3DD9" w14:textId="77777777" w:rsidTr="00AB0038">
        <w:trPr>
          <w:trHeight w:val="1542"/>
        </w:trPr>
        <w:tc>
          <w:tcPr>
            <w:tcW w:w="3671" w:type="dxa"/>
            <w:tcBorders>
              <w:top w:val="single" w:sz="4" w:space="0" w:color="auto"/>
              <w:left w:val="single" w:sz="12" w:space="0" w:color="auto"/>
              <w:bottom w:val="single" w:sz="4" w:space="0" w:color="auto"/>
            </w:tcBorders>
            <w:shd w:val="clear" w:color="auto" w:fill="auto"/>
            <w:vAlign w:val="center"/>
          </w:tcPr>
          <w:p w14:paraId="1519DAB7" w14:textId="34A9C2F1" w:rsidR="00596C26" w:rsidRPr="002314BB" w:rsidRDefault="00596C26" w:rsidP="00526BA4">
            <w:pPr>
              <w:ind w:right="-93"/>
              <w:rPr>
                <w:rFonts w:eastAsia="Times New Roman" w:cstheme="minorHAnsi"/>
                <w:b/>
                <w:bCs/>
                <w:lang w:eastAsia="sk-SK"/>
              </w:rPr>
            </w:pPr>
            <w:r w:rsidRPr="002314BB">
              <w:rPr>
                <w:rFonts w:eastAsia="Times New Roman" w:cstheme="minorHAnsi"/>
                <w:b/>
                <w:lang w:eastAsia="sk-SK"/>
              </w:rPr>
              <w:t>Počet podporených pracovných miest sociálnych pracovníkov</w:t>
            </w:r>
          </w:p>
        </w:tc>
        <w:tc>
          <w:tcPr>
            <w:tcW w:w="1134" w:type="dxa"/>
            <w:tcBorders>
              <w:top w:val="single" w:sz="4" w:space="0" w:color="auto"/>
              <w:bottom w:val="single" w:sz="4" w:space="0" w:color="auto"/>
            </w:tcBorders>
            <w:vAlign w:val="center"/>
          </w:tcPr>
          <w:p w14:paraId="1BE86B96" w14:textId="292B73F7"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0A7BEAF9" w14:textId="7AF83111" w:rsidR="009E3FCA" w:rsidRPr="002314BB" w:rsidRDefault="009E3FCA" w:rsidP="009E3FCA">
            <w:pPr>
              <w:pStyle w:val="Bezriadkovania"/>
              <w:jc w:val="both"/>
              <w:rPr>
                <w:rFonts w:cstheme="minorHAnsi"/>
              </w:rPr>
            </w:pPr>
            <w:r w:rsidRPr="002314BB">
              <w:rPr>
                <w:rFonts w:cstheme="minorHAnsi"/>
              </w:rPr>
              <w:t xml:space="preserve">Pracovné miesta, ktoré vzniknú vďaka realizácii projektu pre ľudí z MRK. Pracovné miesta typu terénny sociálny pracovník, asistent terénneho sociálneho pracovníka, pracovník komunitného centra, asistent učiteľa a iných pedagogických pracovníkov a odborných zamestnancov a pod. </w:t>
            </w:r>
            <w:r w:rsidR="00801A78" w:rsidRPr="002314BB">
              <w:rPr>
                <w:rFonts w:eastAsia="Times New Roman" w:cstheme="minorHAnsi"/>
                <w:lang w:eastAsia="sk-SK"/>
              </w:rPr>
              <w:t>MU sa preukazuje z internej evidencie prijímateľa</w:t>
            </w:r>
            <w:r w:rsidR="001E78FB" w:rsidRPr="002314BB">
              <w:rPr>
                <w:rFonts w:eastAsia="Times New Roman" w:cstheme="minorHAnsi"/>
                <w:lang w:eastAsia="sk-SK"/>
              </w:rPr>
              <w:t>.</w:t>
            </w:r>
          </w:p>
          <w:p w14:paraId="3E740972" w14:textId="6EC3D697" w:rsidR="00596C26" w:rsidRPr="002314BB" w:rsidRDefault="00596C26" w:rsidP="009E3FCA">
            <w:pPr>
              <w:pStyle w:val="Bezriadkovania"/>
              <w:jc w:val="both"/>
              <w:rPr>
                <w:rFonts w:cstheme="minorHAnsi"/>
              </w:rPr>
            </w:pPr>
          </w:p>
        </w:tc>
      </w:tr>
      <w:tr w:rsidR="00062FC4" w:rsidRPr="002314BB" w14:paraId="661BCDFE" w14:textId="77777777" w:rsidTr="00AB0038">
        <w:trPr>
          <w:trHeight w:val="984"/>
        </w:trPr>
        <w:tc>
          <w:tcPr>
            <w:tcW w:w="3671" w:type="dxa"/>
            <w:tcBorders>
              <w:top w:val="single" w:sz="4" w:space="0" w:color="auto"/>
              <w:left w:val="single" w:sz="12" w:space="0" w:color="auto"/>
              <w:bottom w:val="single" w:sz="4" w:space="0" w:color="auto"/>
            </w:tcBorders>
            <w:shd w:val="clear" w:color="auto" w:fill="auto"/>
            <w:vAlign w:val="center"/>
          </w:tcPr>
          <w:p w14:paraId="52A062BB" w14:textId="6FA85F7B" w:rsidR="00596C26" w:rsidRPr="002314BB" w:rsidRDefault="00596C26" w:rsidP="00526BA4">
            <w:pPr>
              <w:ind w:right="-93"/>
              <w:rPr>
                <w:rFonts w:eastAsia="Times New Roman" w:cstheme="minorHAnsi"/>
                <w:b/>
                <w:bCs/>
                <w:lang w:eastAsia="sk-SK"/>
              </w:rPr>
            </w:pPr>
            <w:r w:rsidRPr="002314BB">
              <w:rPr>
                <w:rFonts w:eastAsia="Times New Roman" w:cstheme="minorHAnsi"/>
                <w:b/>
                <w:lang w:eastAsia="sk-SK"/>
              </w:rPr>
              <w:t>Počet podporených komunitných centier</w:t>
            </w:r>
          </w:p>
        </w:tc>
        <w:tc>
          <w:tcPr>
            <w:tcW w:w="1134" w:type="dxa"/>
            <w:tcBorders>
              <w:top w:val="single" w:sz="4" w:space="0" w:color="auto"/>
              <w:bottom w:val="single" w:sz="4" w:space="0" w:color="auto"/>
            </w:tcBorders>
            <w:vAlign w:val="center"/>
          </w:tcPr>
          <w:p w14:paraId="6DF882E9" w14:textId="6C16D599"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7F7D42B6" w14:textId="4509B190" w:rsidR="00062FC4" w:rsidRPr="002314BB" w:rsidRDefault="00596C26" w:rsidP="00062FC4">
            <w:pPr>
              <w:jc w:val="both"/>
              <w:rPr>
                <w:rFonts w:cstheme="minorHAnsi"/>
              </w:rPr>
            </w:pPr>
            <w:r w:rsidRPr="002314BB">
              <w:rPr>
                <w:rFonts w:eastAsia="Times New Roman" w:cstheme="minorHAnsi"/>
                <w:lang w:eastAsia="sk-SK"/>
              </w:rPr>
              <w:t>Počet komunitných centier v územiach s prítomnosťou MRK</w:t>
            </w:r>
            <w:r w:rsidR="00062FC4" w:rsidRPr="002314BB">
              <w:rPr>
                <w:rFonts w:eastAsia="Times New Roman" w:cstheme="minorHAnsi"/>
                <w:lang w:eastAsia="sk-SK"/>
              </w:rPr>
              <w:t xml:space="preserve"> (</w:t>
            </w:r>
            <w:r w:rsidR="00801A78" w:rsidRPr="002314BB">
              <w:rPr>
                <w:rFonts w:eastAsia="Times New Roman" w:cstheme="minorHAnsi"/>
                <w:lang w:eastAsia="sk-SK"/>
              </w:rPr>
              <w:t xml:space="preserve">MU sa preukazuje z internej evidencie prijímateľa </w:t>
            </w:r>
            <w:r w:rsidR="00062FC4" w:rsidRPr="002314BB">
              <w:rPr>
                <w:rFonts w:eastAsia="Times New Roman" w:cstheme="minorHAnsi"/>
                <w:lang w:eastAsia="sk-SK"/>
              </w:rPr>
              <w:t>podľa Atlasu rómskych komunít 2019).</w:t>
            </w:r>
          </w:p>
          <w:p w14:paraId="71C322D2" w14:textId="50939073" w:rsidR="00596C26" w:rsidRPr="002314BB" w:rsidRDefault="00596C26" w:rsidP="00062FC4">
            <w:pPr>
              <w:pStyle w:val="Bezriadkovania"/>
              <w:jc w:val="both"/>
              <w:rPr>
                <w:rFonts w:cstheme="minorHAnsi"/>
              </w:rPr>
            </w:pPr>
          </w:p>
        </w:tc>
      </w:tr>
      <w:tr w:rsidR="00596C26" w:rsidRPr="002314BB" w14:paraId="0315AFA2"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3BA8547" w14:textId="2963D9E9" w:rsidR="00596C26" w:rsidRPr="002314BB" w:rsidRDefault="00596C26" w:rsidP="00526BA4">
            <w:pPr>
              <w:ind w:right="-93"/>
              <w:rPr>
                <w:rFonts w:eastAsia="Times New Roman" w:cstheme="minorHAnsi"/>
                <w:b/>
                <w:lang w:eastAsia="sk-SK"/>
              </w:rPr>
            </w:pPr>
            <w:r w:rsidRPr="002314BB">
              <w:rPr>
                <w:rFonts w:eastAsia="Times New Roman" w:cstheme="minorHAnsi"/>
                <w:b/>
                <w:lang w:eastAsia="sk-SK"/>
              </w:rPr>
              <w:t>Kapacita podporenej infraštruktúry komunitných centier</w:t>
            </w:r>
          </w:p>
        </w:tc>
        <w:tc>
          <w:tcPr>
            <w:tcW w:w="1134" w:type="dxa"/>
            <w:tcBorders>
              <w:top w:val="single" w:sz="4" w:space="0" w:color="auto"/>
              <w:bottom w:val="single" w:sz="4" w:space="0" w:color="auto"/>
            </w:tcBorders>
            <w:vAlign w:val="center"/>
          </w:tcPr>
          <w:p w14:paraId="3597E63C" w14:textId="030C9B48"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1F6865CA" w14:textId="65E43944" w:rsidR="00596C26" w:rsidRPr="002314BB" w:rsidRDefault="00596C26" w:rsidP="00062FC4">
            <w:pPr>
              <w:pStyle w:val="Bezriadkovania"/>
              <w:jc w:val="both"/>
              <w:rPr>
                <w:rFonts w:eastAsia="Times New Roman" w:cstheme="minorHAnsi"/>
                <w:lang w:eastAsia="sk-SK"/>
              </w:rPr>
            </w:pPr>
            <w:r w:rsidRPr="002314BB">
              <w:rPr>
                <w:rFonts w:eastAsia="Times New Roman" w:cstheme="minorHAnsi"/>
                <w:lang w:eastAsia="sk-SK"/>
              </w:rPr>
              <w:t>Počet užívateľov, ktorí budú používať nové alebo zlepšené vybavenie.</w:t>
            </w:r>
            <w:r w:rsidR="00801A78" w:rsidRPr="002314BB">
              <w:rPr>
                <w:rFonts w:eastAsia="Times New Roman" w:cstheme="minorHAnsi"/>
                <w:lang w:eastAsia="sk-SK"/>
              </w:rPr>
              <w:t xml:space="preserve"> MU sa preukazuje z internej evidencie prijímateľa.</w:t>
            </w:r>
          </w:p>
        </w:tc>
      </w:tr>
      <w:tr w:rsidR="00596C26" w:rsidRPr="002314BB" w14:paraId="18065988"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163F7E3" w14:textId="46A5769F" w:rsidR="00596C26" w:rsidRPr="002314BB" w:rsidRDefault="00596C26" w:rsidP="00526BA4">
            <w:pPr>
              <w:rPr>
                <w:rFonts w:eastAsia="Times New Roman" w:cstheme="minorHAnsi"/>
                <w:b/>
                <w:lang w:eastAsia="sk-SK"/>
              </w:rPr>
            </w:pPr>
            <w:r w:rsidRPr="002314BB">
              <w:rPr>
                <w:rFonts w:eastAsia="Times New Roman" w:cstheme="minorHAnsi"/>
                <w:b/>
                <w:lang w:eastAsia="sk-SK"/>
              </w:rPr>
              <w:t>Nárast kapacity podporenej infraštruktúry komunitných centier</w:t>
            </w:r>
          </w:p>
        </w:tc>
        <w:tc>
          <w:tcPr>
            <w:tcW w:w="1134" w:type="dxa"/>
            <w:tcBorders>
              <w:top w:val="single" w:sz="4" w:space="0" w:color="auto"/>
              <w:bottom w:val="single" w:sz="4" w:space="0" w:color="auto"/>
            </w:tcBorders>
            <w:vAlign w:val="center"/>
          </w:tcPr>
          <w:p w14:paraId="0329A140" w14:textId="15ADD6C0"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6F1BC94C" w14:textId="0706CB36" w:rsidR="00596C26" w:rsidRPr="002314BB" w:rsidRDefault="00596C26" w:rsidP="00062FC4">
            <w:pPr>
              <w:pStyle w:val="Bezriadkovania"/>
              <w:jc w:val="both"/>
              <w:rPr>
                <w:rFonts w:eastAsia="Times New Roman" w:cstheme="minorHAnsi"/>
                <w:lang w:eastAsia="sk-SK"/>
              </w:rPr>
            </w:pPr>
            <w:r w:rsidRPr="002314BB">
              <w:rPr>
                <w:rFonts w:eastAsia="Times New Roman" w:cstheme="minorHAnsi"/>
                <w:szCs w:val="20"/>
                <w:lang w:eastAsia="sk-SK"/>
              </w:rPr>
              <w:t>Nárast počtu užívateľov, ktorí budú používať nové alebo zlepšené zariadenia komunitných centier.</w:t>
            </w:r>
            <w:r w:rsidR="001E78FB" w:rsidRPr="002314BB">
              <w:rPr>
                <w:rFonts w:eastAsia="Times New Roman" w:cstheme="minorHAnsi"/>
                <w:szCs w:val="20"/>
                <w:lang w:eastAsia="sk-SK"/>
              </w:rPr>
              <w:t xml:space="preserve"> </w:t>
            </w:r>
            <w:r w:rsidR="001E78FB" w:rsidRPr="002314BB">
              <w:rPr>
                <w:rFonts w:eastAsia="Times New Roman" w:cstheme="minorHAnsi"/>
                <w:lang w:eastAsia="sk-SK"/>
              </w:rPr>
              <w:t>MU sa preukazuje z internej evidencie prijímateľa.</w:t>
            </w:r>
          </w:p>
        </w:tc>
      </w:tr>
      <w:tr w:rsidR="00596C26" w:rsidRPr="002314BB" w14:paraId="2EA29856" w14:textId="77777777" w:rsidTr="00AB0038">
        <w:trPr>
          <w:trHeight w:val="1412"/>
        </w:trPr>
        <w:tc>
          <w:tcPr>
            <w:tcW w:w="3671" w:type="dxa"/>
            <w:tcBorders>
              <w:top w:val="single" w:sz="4" w:space="0" w:color="auto"/>
              <w:left w:val="single" w:sz="12" w:space="0" w:color="auto"/>
              <w:bottom w:val="single" w:sz="12" w:space="0" w:color="auto"/>
            </w:tcBorders>
            <w:shd w:val="clear" w:color="auto" w:fill="auto"/>
            <w:vAlign w:val="center"/>
          </w:tcPr>
          <w:p w14:paraId="1F08B2F0" w14:textId="2EBAED4A" w:rsidR="00596C26" w:rsidRPr="002314BB" w:rsidRDefault="00596C26" w:rsidP="00526BA4">
            <w:pPr>
              <w:ind w:right="-93"/>
              <w:rPr>
                <w:rFonts w:eastAsia="Times New Roman" w:cstheme="minorHAnsi"/>
                <w:b/>
                <w:lang w:eastAsia="sk-SK"/>
              </w:rPr>
            </w:pPr>
            <w:r w:rsidRPr="002314BB">
              <w:rPr>
                <w:rFonts w:eastAsia="Times New Roman" w:cstheme="minorHAnsi"/>
                <w:b/>
                <w:lang w:eastAsia="sk-SK"/>
              </w:rPr>
              <w:lastRenderedPageBreak/>
              <w:t>Počet osôb z MRK, ktoré využili služby komunitných centier</w:t>
            </w:r>
          </w:p>
        </w:tc>
        <w:tc>
          <w:tcPr>
            <w:tcW w:w="1134" w:type="dxa"/>
            <w:tcBorders>
              <w:top w:val="single" w:sz="4" w:space="0" w:color="auto"/>
              <w:bottom w:val="single" w:sz="12" w:space="0" w:color="auto"/>
            </w:tcBorders>
            <w:vAlign w:val="center"/>
          </w:tcPr>
          <w:p w14:paraId="2BC56154" w14:textId="6F2792FC"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12" w:space="0" w:color="auto"/>
              <w:right w:val="single" w:sz="12" w:space="0" w:color="auto"/>
            </w:tcBorders>
            <w:vAlign w:val="center"/>
          </w:tcPr>
          <w:p w14:paraId="4E33A736" w14:textId="032B80F5" w:rsidR="00596C26" w:rsidRPr="002314BB" w:rsidRDefault="00596C26" w:rsidP="00596C26">
            <w:pPr>
              <w:pStyle w:val="Bezriadkovania"/>
              <w:jc w:val="both"/>
              <w:rPr>
                <w:rFonts w:eastAsia="Times New Roman" w:cstheme="minorHAnsi"/>
                <w:lang w:eastAsia="sk-SK"/>
              </w:rPr>
            </w:pPr>
            <w:r w:rsidRPr="002314BB">
              <w:rPr>
                <w:rFonts w:eastAsia="Times New Roman" w:cstheme="minorHAnsi"/>
                <w:szCs w:val="20"/>
                <w:lang w:eastAsia="sk-SK"/>
              </w:rPr>
              <w:t>Počet osôb MRK, ktoré počas realizácie projektu využili služby komunitných centier</w:t>
            </w:r>
            <w:r w:rsidR="00062FC4" w:rsidRPr="002314BB">
              <w:rPr>
                <w:rFonts w:eastAsia="Times New Roman" w:cstheme="minorHAnsi"/>
                <w:szCs w:val="20"/>
                <w:lang w:eastAsia="sk-SK"/>
              </w:rPr>
              <w:t>.</w:t>
            </w:r>
            <w:r w:rsidR="001E78FB" w:rsidRPr="002314BB">
              <w:rPr>
                <w:rFonts w:eastAsia="Times New Roman" w:cstheme="minorHAnsi"/>
                <w:szCs w:val="20"/>
                <w:lang w:eastAsia="sk-SK"/>
              </w:rPr>
              <w:t xml:space="preserve"> </w:t>
            </w:r>
            <w:r w:rsidR="001E78FB" w:rsidRPr="002314BB">
              <w:rPr>
                <w:rFonts w:eastAsia="Times New Roman" w:cstheme="minorHAnsi"/>
                <w:lang w:eastAsia="sk-SK"/>
              </w:rPr>
              <w:t>MU sa preukazuje z internej evidencie prijímateľa.</w:t>
            </w:r>
          </w:p>
        </w:tc>
      </w:tr>
    </w:tbl>
    <w:p w14:paraId="722B9542" w14:textId="67A9AB56" w:rsidR="00FB637C" w:rsidRPr="002314BB" w:rsidRDefault="00FB637C" w:rsidP="00FB637C">
      <w:pPr>
        <w:pStyle w:val="Bezriadkovania"/>
        <w:jc w:val="both"/>
        <w:rPr>
          <w:rFonts w:cstheme="minorHAnsi"/>
          <w:b/>
        </w:rPr>
      </w:pPr>
    </w:p>
    <w:p w14:paraId="1CAD4095" w14:textId="31C7F0AF" w:rsidR="00AB0038" w:rsidRPr="002314BB" w:rsidRDefault="00AB0038" w:rsidP="00FB637C">
      <w:pPr>
        <w:pStyle w:val="Bezriadkovania"/>
        <w:jc w:val="both"/>
        <w:rPr>
          <w:rFonts w:cstheme="minorHAnsi"/>
          <w:b/>
        </w:rPr>
      </w:pPr>
    </w:p>
    <w:p w14:paraId="5E693ADF" w14:textId="77777777" w:rsidR="00AB0038" w:rsidRPr="002314BB" w:rsidRDefault="00AB0038" w:rsidP="00FB637C">
      <w:pPr>
        <w:pStyle w:val="Bezriadkovania"/>
        <w:jc w:val="both"/>
        <w:rPr>
          <w:rFonts w:cstheme="minorHAnsi"/>
          <w:b/>
        </w:rPr>
      </w:pPr>
    </w:p>
    <w:p w14:paraId="66986C12" w14:textId="1F12085D" w:rsidR="008211E7" w:rsidRPr="002314BB" w:rsidRDefault="008211E7" w:rsidP="008211E7">
      <w:pPr>
        <w:pStyle w:val="Bezriadkovania"/>
        <w:numPr>
          <w:ilvl w:val="0"/>
          <w:numId w:val="7"/>
        </w:numPr>
        <w:ind w:left="284" w:hanging="284"/>
        <w:jc w:val="both"/>
        <w:rPr>
          <w:rFonts w:cstheme="minorHAnsi"/>
          <w:b/>
          <w:szCs w:val="20"/>
        </w:rPr>
      </w:pPr>
      <w:r w:rsidRPr="002314BB">
        <w:rPr>
          <w:rFonts w:cstheme="minorHAnsi"/>
          <w:b/>
          <w:szCs w:val="20"/>
        </w:rPr>
        <w:t>Technická infraštruktúra</w:t>
      </w:r>
    </w:p>
    <w:p w14:paraId="11D7A15E" w14:textId="77777777" w:rsidR="008211E7" w:rsidRPr="002314BB" w:rsidRDefault="008211E7" w:rsidP="008211E7">
      <w:pPr>
        <w:pStyle w:val="Bezriadkovania"/>
        <w:ind w:left="284"/>
        <w:jc w:val="both"/>
        <w:rPr>
          <w:rFonts w:cstheme="minorHAnsi"/>
          <w:b/>
          <w:szCs w:val="20"/>
        </w:rPr>
      </w:pPr>
    </w:p>
    <w:tbl>
      <w:tblPr>
        <w:tblStyle w:val="Mriekatabuky"/>
        <w:tblW w:w="14019" w:type="dxa"/>
        <w:tblLayout w:type="fixed"/>
        <w:tblLook w:val="04A0" w:firstRow="1" w:lastRow="0" w:firstColumn="1" w:lastColumn="0" w:noHBand="0" w:noVBand="1"/>
      </w:tblPr>
      <w:tblGrid>
        <w:gridCol w:w="3671"/>
        <w:gridCol w:w="1134"/>
        <w:gridCol w:w="9214"/>
      </w:tblGrid>
      <w:tr w:rsidR="008211E7" w:rsidRPr="002314BB" w14:paraId="55EC4A7D"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661828FA" w14:textId="77777777" w:rsidR="008211E7" w:rsidRPr="002314BB" w:rsidRDefault="008211E7"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47E8DA15" w14:textId="77777777" w:rsidR="008211E7" w:rsidRPr="002314BB" w:rsidRDefault="008211E7"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4B033A9C" w14:textId="77777777" w:rsidR="008211E7" w:rsidRPr="002314BB" w:rsidRDefault="008211E7"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8211E7" w:rsidRPr="002314BB" w14:paraId="3FF0C3AF" w14:textId="77777777" w:rsidTr="00AB0038">
        <w:trPr>
          <w:trHeight w:val="1309"/>
        </w:trPr>
        <w:tc>
          <w:tcPr>
            <w:tcW w:w="3671" w:type="dxa"/>
            <w:tcBorders>
              <w:top w:val="single" w:sz="12" w:space="0" w:color="auto"/>
              <w:left w:val="single" w:sz="12" w:space="0" w:color="auto"/>
              <w:bottom w:val="single" w:sz="4" w:space="0" w:color="auto"/>
            </w:tcBorders>
            <w:shd w:val="clear" w:color="auto" w:fill="auto"/>
            <w:vAlign w:val="center"/>
          </w:tcPr>
          <w:p w14:paraId="64F272C0" w14:textId="494BDC1C" w:rsidR="008211E7" w:rsidRPr="002314BB" w:rsidRDefault="008211E7" w:rsidP="00526BA4">
            <w:pPr>
              <w:ind w:right="-104"/>
              <w:rPr>
                <w:rFonts w:eastAsia="Times New Roman" w:cstheme="minorHAnsi"/>
                <w:lang w:eastAsia="sk-SK"/>
              </w:rPr>
            </w:pPr>
            <w:r w:rsidRPr="002314BB">
              <w:rPr>
                <w:rFonts w:eastAsia="Times New Roman" w:cstheme="minorHAnsi"/>
                <w:b/>
                <w:lang w:eastAsia="sk-SK"/>
              </w:rPr>
              <w:t>Dĺžka vybudovaných /</w:t>
            </w:r>
            <w:r w:rsidR="00616EB4" w:rsidRPr="002314BB">
              <w:rPr>
                <w:rFonts w:eastAsia="Times New Roman" w:cstheme="minorHAnsi"/>
                <w:b/>
                <w:lang w:eastAsia="sk-SK"/>
              </w:rPr>
              <w:t>zrekonštruovanýc</w:t>
            </w:r>
            <w:r w:rsidRPr="002314BB">
              <w:rPr>
                <w:rFonts w:eastAsia="Times New Roman" w:cstheme="minorHAnsi"/>
                <w:b/>
                <w:lang w:eastAsia="sk-SK"/>
              </w:rPr>
              <w:t>h ciest/mostov</w:t>
            </w:r>
          </w:p>
        </w:tc>
        <w:tc>
          <w:tcPr>
            <w:tcW w:w="1134" w:type="dxa"/>
            <w:tcBorders>
              <w:top w:val="single" w:sz="12" w:space="0" w:color="auto"/>
              <w:bottom w:val="single" w:sz="4" w:space="0" w:color="auto"/>
            </w:tcBorders>
            <w:vAlign w:val="center"/>
          </w:tcPr>
          <w:p w14:paraId="44292BAE" w14:textId="0C28140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12" w:space="0" w:color="auto"/>
              <w:bottom w:val="single" w:sz="4" w:space="0" w:color="auto"/>
              <w:right w:val="single" w:sz="12" w:space="0" w:color="auto"/>
            </w:tcBorders>
            <w:vAlign w:val="center"/>
          </w:tcPr>
          <w:p w14:paraId="7A7D9CAE" w14:textId="521A8856" w:rsidR="008211E7" w:rsidRPr="002314BB" w:rsidRDefault="008211E7" w:rsidP="008211E7">
            <w:pPr>
              <w:pStyle w:val="Bezriadkovania"/>
              <w:jc w:val="both"/>
              <w:rPr>
                <w:rFonts w:cstheme="minorHAnsi"/>
                <w:b/>
              </w:rPr>
            </w:pPr>
            <w:r w:rsidRPr="002314BB">
              <w:rPr>
                <w:rFonts w:eastAsia="Times New Roman" w:cstheme="minorHAnsi"/>
                <w:lang w:eastAsia="sk-SK"/>
              </w:rPr>
              <w:t>Vyjadruje celkovú dĺžku vybudovaných alebo rekonštruovaných ciest. Ide o cesty, ktorých kapacita alebo kvalita sa zlepšila (vrátane bezpečnostných noriem)</w:t>
            </w:r>
            <w:r w:rsidR="001E78FB" w:rsidRPr="002314BB">
              <w:rPr>
                <w:rFonts w:eastAsia="Times New Roman" w:cstheme="minorHAnsi"/>
                <w:lang w:eastAsia="sk-SK"/>
              </w:rPr>
              <w:t>. MU vychádza z predloženej projektovej dokumentácie/projektovej dokumentácie skutočného vyhotovenia/z predloženého stavebného povolenia/ohlásenia drobnej stavby a podobne.</w:t>
            </w:r>
          </w:p>
        </w:tc>
      </w:tr>
      <w:tr w:rsidR="008211E7" w:rsidRPr="002314BB" w14:paraId="7E9FE7CD" w14:textId="77777777" w:rsidTr="00AB0038">
        <w:trPr>
          <w:trHeight w:val="2963"/>
        </w:trPr>
        <w:tc>
          <w:tcPr>
            <w:tcW w:w="3671" w:type="dxa"/>
            <w:tcBorders>
              <w:top w:val="single" w:sz="4" w:space="0" w:color="auto"/>
              <w:left w:val="single" w:sz="12" w:space="0" w:color="auto"/>
              <w:bottom w:val="single" w:sz="4" w:space="0" w:color="auto"/>
            </w:tcBorders>
            <w:shd w:val="clear" w:color="auto" w:fill="auto"/>
            <w:vAlign w:val="center"/>
          </w:tcPr>
          <w:p w14:paraId="128FEFD0" w14:textId="134A6360" w:rsidR="008211E7" w:rsidRPr="002314BB" w:rsidRDefault="008211E7" w:rsidP="00526BA4">
            <w:pPr>
              <w:ind w:right="-104"/>
              <w:rPr>
                <w:rFonts w:eastAsia="Times New Roman" w:cstheme="minorHAnsi"/>
                <w:b/>
                <w:bCs/>
                <w:lang w:eastAsia="sk-SK"/>
              </w:rPr>
            </w:pPr>
            <w:r w:rsidRPr="002314BB">
              <w:rPr>
                <w:rFonts w:eastAsia="Times New Roman" w:cstheme="minorHAnsi"/>
                <w:b/>
                <w:lang w:eastAsia="sk-SK"/>
              </w:rPr>
              <w:t>Dĺžka nových / zrekonštruovaných úsekov cyklistických komunikácií</w:t>
            </w:r>
          </w:p>
        </w:tc>
        <w:tc>
          <w:tcPr>
            <w:tcW w:w="1134" w:type="dxa"/>
            <w:tcBorders>
              <w:top w:val="single" w:sz="4" w:space="0" w:color="auto"/>
              <w:bottom w:val="single" w:sz="4" w:space="0" w:color="auto"/>
            </w:tcBorders>
            <w:vAlign w:val="center"/>
          </w:tcPr>
          <w:p w14:paraId="36EFACDE" w14:textId="27D3039D"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4" w:space="0" w:color="auto"/>
              <w:bottom w:val="single" w:sz="4" w:space="0" w:color="auto"/>
              <w:right w:val="single" w:sz="12" w:space="0" w:color="auto"/>
            </w:tcBorders>
            <w:shd w:val="clear" w:color="auto" w:fill="auto"/>
            <w:vAlign w:val="center"/>
          </w:tcPr>
          <w:p w14:paraId="3CF42E45" w14:textId="63B667DE" w:rsidR="008211E7" w:rsidRPr="002314BB" w:rsidRDefault="008211E7" w:rsidP="008211E7">
            <w:pPr>
              <w:pStyle w:val="Bezriadkovania"/>
              <w:jc w:val="both"/>
              <w:rPr>
                <w:rFonts w:cstheme="minorHAnsi"/>
              </w:rPr>
            </w:pPr>
            <w:r w:rsidRPr="002314BB">
              <w:rPr>
                <w:rFonts w:eastAsia="Times New Roman" w:cstheme="minorHAnsi"/>
                <w:lang w:eastAsia="sk-SK"/>
              </w:rPr>
              <w:t>Celková dĺžka novovybudovaných úsekov cyklistických komunikácií prostredníctvom RP. Pod</w:t>
            </w:r>
            <w:r w:rsidR="002314BB">
              <w:rPr>
                <w:rFonts w:eastAsia="Times New Roman" w:cstheme="minorHAnsi"/>
                <w:lang w:eastAsia="sk-SK"/>
              </w:rPr>
              <w:t> </w:t>
            </w:r>
            <w:r w:rsidRPr="002314BB">
              <w:rPr>
                <w:rFonts w:eastAsia="Times New Roman" w:cstheme="minorHAnsi"/>
                <w:lang w:eastAsia="sk-SK"/>
              </w:rPr>
              <w:t>cyklistickou komunikáciou sa v zmysle STN 73 6100 rozumie nemotoristická komunikácia u</w:t>
            </w:r>
            <w:r w:rsidR="00616EB4" w:rsidRPr="002314BB">
              <w:rPr>
                <w:rFonts w:eastAsia="Times New Roman" w:cstheme="minorHAnsi"/>
                <w:lang w:eastAsia="sk-SK"/>
              </w:rPr>
              <w:t>rčená na cyklistickú premávku s </w:t>
            </w:r>
            <w:r w:rsidRPr="002314BB">
              <w:rPr>
                <w:rFonts w:eastAsia="Times New Roman" w:cstheme="minorHAnsi"/>
                <w:lang w:eastAsia="sk-SK"/>
              </w:rPr>
              <w:t>vylúčením alebo oddelením akejkoľvek motorovej dopravy (cyklocesta, cyklochodník). V zmysle podpory RP sem radíme aj viacúčelový pruh (STN 73 6110), cyklistický pruh (STN 63 6100) a cyklistický pás (STN 73 6100).</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4A0ADD12" w14:textId="77777777" w:rsidTr="00AB0038">
        <w:trPr>
          <w:trHeight w:val="2428"/>
        </w:trPr>
        <w:tc>
          <w:tcPr>
            <w:tcW w:w="3671" w:type="dxa"/>
            <w:tcBorders>
              <w:top w:val="single" w:sz="4" w:space="0" w:color="auto"/>
              <w:left w:val="single" w:sz="12" w:space="0" w:color="auto"/>
              <w:bottom w:val="single" w:sz="4" w:space="0" w:color="auto"/>
            </w:tcBorders>
            <w:shd w:val="clear" w:color="auto" w:fill="auto"/>
            <w:vAlign w:val="center"/>
          </w:tcPr>
          <w:p w14:paraId="578CA266" w14:textId="27353F30"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lastRenderedPageBreak/>
              <w:t>Počet vytvorených prvkov doplnkovej cyklistickej infraštruktúry</w:t>
            </w:r>
          </w:p>
        </w:tc>
        <w:tc>
          <w:tcPr>
            <w:tcW w:w="1134" w:type="dxa"/>
            <w:tcBorders>
              <w:top w:val="single" w:sz="4" w:space="0" w:color="auto"/>
              <w:bottom w:val="single" w:sz="4" w:space="0" w:color="auto"/>
            </w:tcBorders>
            <w:shd w:val="clear" w:color="auto" w:fill="auto"/>
            <w:vAlign w:val="center"/>
          </w:tcPr>
          <w:p w14:paraId="493F17DE" w14:textId="40C5C9B6"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13DE1651" w14:textId="355757FC" w:rsidR="008211E7" w:rsidRPr="002314BB" w:rsidRDefault="008211E7" w:rsidP="008211E7">
            <w:pPr>
              <w:pStyle w:val="Bezriadkovania"/>
              <w:jc w:val="both"/>
              <w:rPr>
                <w:rFonts w:cstheme="minorHAnsi"/>
              </w:rPr>
            </w:pPr>
            <w:r w:rsidRPr="002314BB">
              <w:rPr>
                <w:rFonts w:eastAsia="Times New Roman" w:cstheme="minorHAnsi"/>
                <w:lang w:eastAsia="sk-SK"/>
              </w:rPr>
              <w:t>Celkový počet vytvorených prvkov doplnkovej cyklistickej infraštruktúry prostredníctvom RP. Pod</w:t>
            </w:r>
            <w:r w:rsidR="002314BB">
              <w:rPr>
                <w:rFonts w:eastAsia="Times New Roman" w:cstheme="minorHAnsi"/>
                <w:lang w:eastAsia="sk-SK"/>
              </w:rPr>
              <w:t> </w:t>
            </w:r>
            <w:r w:rsidRPr="002314BB">
              <w:rPr>
                <w:rFonts w:eastAsia="Times New Roman" w:cstheme="minorHAnsi"/>
                <w:lang w:eastAsia="sk-SK"/>
              </w:rPr>
              <w:t xml:space="preserve">doplnkovou cyklistickou infraštruktúrou sa </w:t>
            </w:r>
            <w:r w:rsidR="00FB5C2D">
              <w:rPr>
                <w:rFonts w:eastAsia="Times New Roman" w:cstheme="minorHAnsi"/>
                <w:lang w:eastAsia="sk-SK"/>
              </w:rPr>
              <w:t xml:space="preserve">v zmysle podporovaných aktivít </w:t>
            </w:r>
            <w:r w:rsidRPr="002314BB">
              <w:rPr>
                <w:rFonts w:eastAsia="Times New Roman" w:cstheme="minorHAnsi"/>
                <w:lang w:eastAsia="sk-SK"/>
              </w:rPr>
              <w:t>rozumejú chránené parkoviská pre bicykle, cyklostojany, nabíjacie stanice pre elektrobicykle, systémy automatickej požičovne bicyklov, hygienické zariadenia a pod.</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79B0C381" w14:textId="77777777" w:rsidTr="00AB0038">
        <w:trPr>
          <w:trHeight w:val="992"/>
        </w:trPr>
        <w:tc>
          <w:tcPr>
            <w:tcW w:w="3671" w:type="dxa"/>
            <w:tcBorders>
              <w:top w:val="single" w:sz="4" w:space="0" w:color="auto"/>
              <w:left w:val="single" w:sz="12" w:space="0" w:color="auto"/>
              <w:bottom w:val="single" w:sz="4" w:space="0" w:color="auto"/>
            </w:tcBorders>
            <w:shd w:val="clear" w:color="auto" w:fill="auto"/>
            <w:vAlign w:val="center"/>
          </w:tcPr>
          <w:p w14:paraId="1DCFC57F" w14:textId="45E632FA"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Počet vybudovaných a modernizovaných integrovaných zastávok</w:t>
            </w:r>
          </w:p>
        </w:tc>
        <w:tc>
          <w:tcPr>
            <w:tcW w:w="1134" w:type="dxa"/>
            <w:tcBorders>
              <w:top w:val="single" w:sz="4" w:space="0" w:color="auto"/>
              <w:bottom w:val="single" w:sz="4" w:space="0" w:color="auto"/>
            </w:tcBorders>
            <w:shd w:val="clear" w:color="auto" w:fill="auto"/>
            <w:vAlign w:val="center"/>
          </w:tcPr>
          <w:p w14:paraId="46D85754" w14:textId="7290BCA4"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749B0236" w14:textId="6848A45B" w:rsidR="008211E7" w:rsidRPr="002314BB" w:rsidRDefault="008211E7" w:rsidP="008211E7">
            <w:pPr>
              <w:pStyle w:val="Bezriadkovania"/>
              <w:jc w:val="both"/>
              <w:rPr>
                <w:rFonts w:eastAsia="Times New Roman" w:cstheme="minorHAnsi"/>
                <w:lang w:eastAsia="sk-SK"/>
              </w:rPr>
            </w:pPr>
            <w:r w:rsidRPr="002314BB">
              <w:rPr>
                <w:rFonts w:eastAsia="Times New Roman" w:cstheme="minorHAnsi"/>
                <w:lang w:eastAsia="sk-SK"/>
              </w:rPr>
              <w:t>Počet vybudovaných a zmodernizovaných integrovaných zastávok a zastávok cestnej verejnej osobnej dopravy podporených prostredníctvom RP. Integrovaná (združen</w:t>
            </w:r>
            <w:r w:rsidR="00616EB4" w:rsidRPr="002314BB">
              <w:rPr>
                <w:rFonts w:eastAsia="Times New Roman" w:cstheme="minorHAnsi"/>
                <w:lang w:eastAsia="sk-SK"/>
              </w:rPr>
              <w:t>á) zastávka je zastávka, kde na </w:t>
            </w:r>
            <w:r w:rsidRPr="002314BB">
              <w:rPr>
                <w:rFonts w:eastAsia="Times New Roman" w:cstheme="minorHAnsi"/>
                <w:lang w:eastAsia="sk-SK"/>
              </w:rPr>
              <w:t>jednej nástupnej hrane zastavuje cestná aj koľajová verejná osobná doprava. Zastávka predstavuje predpísaným spôsobom označené a vybavené miesto určené na nástup, výstup alebo prestup cestujúcich a na zastavovanie vozidiel pravidelnej verejnej osobnej dopravy.</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6DA0D38E"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0D492FAA" w14:textId="353F74C4" w:rsidR="008211E7" w:rsidRPr="00371FFA" w:rsidRDefault="008211E7" w:rsidP="00AB0038">
            <w:pPr>
              <w:ind w:right="-104"/>
              <w:rPr>
                <w:rFonts w:eastAsia="Times New Roman" w:cstheme="minorHAnsi"/>
                <w:b/>
                <w:highlight w:val="yellow"/>
                <w:lang w:eastAsia="sk-SK"/>
              </w:rPr>
            </w:pPr>
            <w:r w:rsidRPr="00877C53">
              <w:rPr>
                <w:rFonts w:eastAsia="Times New Roman" w:cstheme="minorHAnsi"/>
                <w:b/>
                <w:lang w:eastAsia="sk-SK"/>
              </w:rPr>
              <w:t>Dĺžka vybudovanej / zrekonštruovanej kanalizačnej siete</w:t>
            </w:r>
          </w:p>
        </w:tc>
        <w:tc>
          <w:tcPr>
            <w:tcW w:w="1134" w:type="dxa"/>
            <w:tcBorders>
              <w:top w:val="single" w:sz="4" w:space="0" w:color="auto"/>
              <w:bottom w:val="single" w:sz="4" w:space="0" w:color="auto"/>
            </w:tcBorders>
            <w:vAlign w:val="center"/>
          </w:tcPr>
          <w:p w14:paraId="4BB653B7" w14:textId="5E6F530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4" w:space="0" w:color="auto"/>
              <w:bottom w:val="single" w:sz="4" w:space="0" w:color="auto"/>
              <w:right w:val="single" w:sz="12" w:space="0" w:color="auto"/>
            </w:tcBorders>
            <w:vAlign w:val="center"/>
          </w:tcPr>
          <w:p w14:paraId="2CB66DD8" w14:textId="041A355A"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metrov vybudovanej kanalizačnej siete podporenej z RP.</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4D16F1DA"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72235409" w14:textId="6FD011FF" w:rsidR="008211E7" w:rsidRPr="00877C53" w:rsidRDefault="008211E7" w:rsidP="00526BA4">
            <w:pPr>
              <w:ind w:right="-104"/>
              <w:rPr>
                <w:rFonts w:eastAsia="Times New Roman" w:cstheme="minorHAnsi"/>
                <w:b/>
                <w:lang w:eastAsia="sk-SK"/>
              </w:rPr>
            </w:pPr>
            <w:r w:rsidRPr="00877C53">
              <w:rPr>
                <w:rFonts w:eastAsia="Times New Roman" w:cstheme="minorHAnsi"/>
                <w:b/>
                <w:lang w:eastAsia="sk-SK"/>
              </w:rPr>
              <w:t>Dĺžka vybudovanej / zrekonštruovanej vodovodnej siete</w:t>
            </w:r>
          </w:p>
        </w:tc>
        <w:tc>
          <w:tcPr>
            <w:tcW w:w="1134" w:type="dxa"/>
            <w:tcBorders>
              <w:top w:val="single" w:sz="4" w:space="0" w:color="auto"/>
              <w:bottom w:val="single" w:sz="4" w:space="0" w:color="auto"/>
            </w:tcBorders>
            <w:vAlign w:val="center"/>
          </w:tcPr>
          <w:p w14:paraId="505BD933" w14:textId="1C4F4C2A"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4" w:space="0" w:color="auto"/>
              <w:bottom w:val="single" w:sz="4" w:space="0" w:color="auto"/>
              <w:right w:val="single" w:sz="12" w:space="0" w:color="auto"/>
            </w:tcBorders>
            <w:vAlign w:val="center"/>
          </w:tcPr>
          <w:p w14:paraId="6EA86426" w14:textId="754E60ED"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metrov vybudovanej vodovodnej siete podporenej z RP.</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509660F3" w14:textId="77777777" w:rsidTr="00AB0038">
        <w:trPr>
          <w:trHeight w:val="978"/>
        </w:trPr>
        <w:tc>
          <w:tcPr>
            <w:tcW w:w="3671" w:type="dxa"/>
            <w:tcBorders>
              <w:top w:val="single" w:sz="4" w:space="0" w:color="auto"/>
              <w:left w:val="single" w:sz="12" w:space="0" w:color="auto"/>
              <w:bottom w:val="single" w:sz="4" w:space="0" w:color="auto"/>
            </w:tcBorders>
            <w:shd w:val="clear" w:color="auto" w:fill="auto"/>
            <w:vAlign w:val="center"/>
          </w:tcPr>
          <w:p w14:paraId="398D15E0" w14:textId="2929A9B9" w:rsidR="008211E7" w:rsidRPr="00877C53" w:rsidRDefault="008211E7" w:rsidP="00526BA4">
            <w:pPr>
              <w:ind w:right="-104"/>
              <w:rPr>
                <w:rFonts w:eastAsia="Times New Roman" w:cstheme="minorHAnsi"/>
                <w:b/>
                <w:lang w:eastAsia="sk-SK"/>
              </w:rPr>
            </w:pPr>
            <w:r w:rsidRPr="00877C53">
              <w:rPr>
                <w:rFonts w:eastAsia="Times New Roman" w:cstheme="minorHAnsi"/>
                <w:b/>
                <w:lang w:eastAsia="sk-SK"/>
              </w:rPr>
              <w:t>Počet nových pripojení na kanalizáciu</w:t>
            </w:r>
          </w:p>
        </w:tc>
        <w:tc>
          <w:tcPr>
            <w:tcW w:w="1134" w:type="dxa"/>
            <w:tcBorders>
              <w:top w:val="single" w:sz="4" w:space="0" w:color="auto"/>
              <w:bottom w:val="single" w:sz="4" w:space="0" w:color="auto"/>
            </w:tcBorders>
            <w:vAlign w:val="center"/>
          </w:tcPr>
          <w:p w14:paraId="748CF668" w14:textId="3E60D61B"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5ED5F149" w14:textId="744679D1"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 xml:space="preserve">Počet nových pripojení na kanalizáciu.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8211E7" w:rsidRPr="002314BB" w14:paraId="6034ACCD" w14:textId="77777777" w:rsidTr="00AB0038">
        <w:trPr>
          <w:trHeight w:val="983"/>
        </w:trPr>
        <w:tc>
          <w:tcPr>
            <w:tcW w:w="3671" w:type="dxa"/>
            <w:tcBorders>
              <w:top w:val="single" w:sz="4" w:space="0" w:color="auto"/>
              <w:left w:val="single" w:sz="12" w:space="0" w:color="auto"/>
              <w:bottom w:val="single" w:sz="4" w:space="0" w:color="auto"/>
            </w:tcBorders>
            <w:shd w:val="clear" w:color="auto" w:fill="auto"/>
            <w:vAlign w:val="center"/>
          </w:tcPr>
          <w:p w14:paraId="06188D9B" w14:textId="2937CB5F" w:rsidR="008211E7" w:rsidRPr="00877C53" w:rsidRDefault="008211E7" w:rsidP="00526BA4">
            <w:pPr>
              <w:ind w:right="-104"/>
              <w:rPr>
                <w:rFonts w:eastAsia="Times New Roman" w:cstheme="minorHAnsi"/>
                <w:b/>
                <w:lang w:eastAsia="sk-SK"/>
              </w:rPr>
            </w:pPr>
            <w:r w:rsidRPr="00877C53">
              <w:rPr>
                <w:rFonts w:eastAsia="Times New Roman" w:cstheme="minorHAnsi"/>
                <w:b/>
                <w:lang w:eastAsia="sk-SK"/>
              </w:rPr>
              <w:lastRenderedPageBreak/>
              <w:t>Počet nových pripojení na vodovod</w:t>
            </w:r>
          </w:p>
        </w:tc>
        <w:tc>
          <w:tcPr>
            <w:tcW w:w="1134" w:type="dxa"/>
            <w:tcBorders>
              <w:top w:val="single" w:sz="4" w:space="0" w:color="auto"/>
              <w:bottom w:val="single" w:sz="4" w:space="0" w:color="auto"/>
            </w:tcBorders>
            <w:vAlign w:val="center"/>
          </w:tcPr>
          <w:p w14:paraId="76FD159F" w14:textId="5C81CD7B"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66337C4E" w14:textId="1355E456"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nových pripojení na vodovod.</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1015D83D"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BD465F4" w14:textId="7AB4DCF1" w:rsidR="008211E7" w:rsidRPr="00877C53" w:rsidRDefault="008211E7" w:rsidP="00526BA4">
            <w:pPr>
              <w:ind w:right="-104"/>
              <w:rPr>
                <w:rFonts w:eastAsia="Times New Roman" w:cstheme="minorHAnsi"/>
                <w:b/>
                <w:lang w:eastAsia="sk-SK"/>
              </w:rPr>
            </w:pPr>
            <w:r w:rsidRPr="00877C53">
              <w:rPr>
                <w:rFonts w:cstheme="minorHAnsi"/>
                <w:b/>
                <w:szCs w:val="16"/>
              </w:rPr>
              <w:t>Zvýšený počet obyvateľov s možnosťou zlepšenej dodávky pitnej vody</w:t>
            </w:r>
          </w:p>
        </w:tc>
        <w:tc>
          <w:tcPr>
            <w:tcW w:w="1134" w:type="dxa"/>
            <w:tcBorders>
              <w:top w:val="single" w:sz="4" w:space="0" w:color="auto"/>
              <w:bottom w:val="single" w:sz="4" w:space="0" w:color="auto"/>
            </w:tcBorders>
            <w:vAlign w:val="center"/>
          </w:tcPr>
          <w:p w14:paraId="7E583673" w14:textId="078D1406"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192DE0CD" w14:textId="77671961"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obyvateľov, ktorým sa zlepšila dodávka pitnej vody.</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4D75B83D" w14:textId="77777777" w:rsidTr="00AB0038">
        <w:trPr>
          <w:trHeight w:val="1676"/>
        </w:trPr>
        <w:tc>
          <w:tcPr>
            <w:tcW w:w="3671" w:type="dxa"/>
            <w:tcBorders>
              <w:top w:val="single" w:sz="4" w:space="0" w:color="auto"/>
              <w:left w:val="single" w:sz="12" w:space="0" w:color="auto"/>
              <w:bottom w:val="single" w:sz="4" w:space="0" w:color="auto"/>
            </w:tcBorders>
            <w:shd w:val="clear" w:color="auto" w:fill="auto"/>
            <w:vAlign w:val="center"/>
          </w:tcPr>
          <w:p w14:paraId="7D636CCD" w14:textId="4A45D111" w:rsidR="008211E7" w:rsidRPr="00877C53" w:rsidRDefault="008211E7" w:rsidP="00AB0038">
            <w:pPr>
              <w:ind w:right="-104"/>
              <w:rPr>
                <w:rFonts w:eastAsia="Times New Roman" w:cstheme="minorHAnsi"/>
                <w:b/>
                <w:lang w:eastAsia="sk-SK"/>
              </w:rPr>
            </w:pPr>
            <w:r w:rsidRPr="00877C53">
              <w:rPr>
                <w:rFonts w:eastAsia="Times New Roman" w:cstheme="minorHAnsi"/>
                <w:b/>
                <w:lang w:eastAsia="sk-SK"/>
              </w:rPr>
              <w:t xml:space="preserve">Zvýšený počet obyvateľov </w:t>
            </w:r>
            <w:r w:rsidRPr="00877C53">
              <w:rPr>
                <w:rFonts w:cstheme="minorHAnsi"/>
                <w:b/>
              </w:rPr>
              <w:t xml:space="preserve">s možnosťou </w:t>
            </w:r>
            <w:r w:rsidRPr="00877C53">
              <w:rPr>
                <w:rFonts w:eastAsia="Times New Roman" w:cstheme="minorHAnsi"/>
                <w:b/>
                <w:lang w:eastAsia="sk-SK"/>
              </w:rPr>
              <w:t>zlepšeného čistenia komunálnych odpadových vôd</w:t>
            </w:r>
          </w:p>
        </w:tc>
        <w:tc>
          <w:tcPr>
            <w:tcW w:w="1134" w:type="dxa"/>
            <w:tcBorders>
              <w:top w:val="single" w:sz="4" w:space="0" w:color="auto"/>
              <w:bottom w:val="single" w:sz="4" w:space="0" w:color="auto"/>
            </w:tcBorders>
            <w:vAlign w:val="center"/>
          </w:tcPr>
          <w:p w14:paraId="6A51FDD0" w14:textId="73725D6D"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668312D1" w14:textId="1864EB7B" w:rsidR="008211E7" w:rsidRPr="002314BB" w:rsidRDefault="00616EB4" w:rsidP="001E78FB">
            <w:pPr>
              <w:pStyle w:val="Bezriadkovania"/>
              <w:jc w:val="both"/>
              <w:rPr>
                <w:rFonts w:eastAsia="Times New Roman" w:cstheme="minorHAnsi"/>
                <w:lang w:eastAsia="sk-SK"/>
              </w:rPr>
            </w:pPr>
            <w:r w:rsidRPr="002314BB">
              <w:rPr>
                <w:rFonts w:eastAsia="Times New Roman" w:cstheme="minorHAnsi"/>
                <w:lang w:eastAsia="sk-SK"/>
              </w:rPr>
              <w:t xml:space="preserve">Počet obyvateľov, ktorým sa zlepšila možnosť čistenia komunálnych odpadových vôd. </w:t>
            </w:r>
            <w:r w:rsidR="001E78FB" w:rsidRPr="002314BB">
              <w:rPr>
                <w:rFonts w:eastAsia="Times New Roman" w:cstheme="minorHAnsi"/>
                <w:lang w:eastAsia="sk-SK"/>
              </w:rPr>
              <w:t>MU vychádza z internej evidencie prijímateľa podobne. MU vychádza z predloženej projektovej dokumentácie/projektovej dokumentácie skutočného vyhotovenia/z predloženého stavebného povolenia/ohlásenia drobnej stavby z internej evidencie prijímateľa podobne.</w:t>
            </w:r>
          </w:p>
        </w:tc>
      </w:tr>
      <w:tr w:rsidR="008211E7" w:rsidRPr="002314BB" w14:paraId="2BD7CB5A"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0A226CAC" w14:textId="77820F50" w:rsidR="008211E7" w:rsidRPr="00877C53" w:rsidRDefault="008211E7" w:rsidP="00526BA4">
            <w:pPr>
              <w:rPr>
                <w:rFonts w:eastAsia="Times New Roman" w:cstheme="minorHAnsi"/>
                <w:b/>
                <w:lang w:eastAsia="sk-SK"/>
              </w:rPr>
            </w:pPr>
            <w:r w:rsidRPr="00877C53">
              <w:rPr>
                <w:rFonts w:eastAsia="Times New Roman" w:cstheme="minorHAnsi"/>
                <w:b/>
                <w:lang w:eastAsia="sk-SK"/>
              </w:rPr>
              <w:t>Zvýšenie kapacity čistiarne odpadových vôd v dôsledku realizácie projektu</w:t>
            </w:r>
          </w:p>
        </w:tc>
        <w:tc>
          <w:tcPr>
            <w:tcW w:w="1134" w:type="dxa"/>
            <w:tcBorders>
              <w:top w:val="single" w:sz="4" w:space="0" w:color="auto"/>
              <w:bottom w:val="single" w:sz="4" w:space="0" w:color="auto"/>
            </w:tcBorders>
            <w:vAlign w:val="center"/>
          </w:tcPr>
          <w:p w14:paraId="65AFB5BC" w14:textId="2134B55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r w:rsidRPr="002314BB">
              <w:rPr>
                <w:rFonts w:eastAsia="Times New Roman" w:cstheme="minorHAnsi"/>
                <w:vertAlign w:val="superscript"/>
                <w:lang w:eastAsia="sk-SK"/>
              </w:rPr>
              <w:t>3</w:t>
            </w:r>
          </w:p>
        </w:tc>
        <w:tc>
          <w:tcPr>
            <w:tcW w:w="9214" w:type="dxa"/>
            <w:tcBorders>
              <w:top w:val="single" w:sz="4" w:space="0" w:color="auto"/>
              <w:bottom w:val="single" w:sz="4" w:space="0" w:color="auto"/>
              <w:right w:val="single" w:sz="12" w:space="0" w:color="auto"/>
            </w:tcBorders>
            <w:vAlign w:val="center"/>
          </w:tcPr>
          <w:p w14:paraId="20DBD06E" w14:textId="72AA8A99"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 xml:space="preserve">Zvýšená kapacita čistiarne odpadových vôd v dôsledku realizácie projektu.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8211E7" w:rsidRPr="002314BB" w14:paraId="6D336254"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BF5809B" w14:textId="7E1C88EA"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Zvýšenie kapacity zariadení na triedenie odpadov</w:t>
            </w:r>
          </w:p>
        </w:tc>
        <w:tc>
          <w:tcPr>
            <w:tcW w:w="1134" w:type="dxa"/>
            <w:tcBorders>
              <w:top w:val="single" w:sz="4" w:space="0" w:color="auto"/>
              <w:bottom w:val="single" w:sz="4" w:space="0" w:color="auto"/>
            </w:tcBorders>
            <w:vAlign w:val="center"/>
          </w:tcPr>
          <w:p w14:paraId="74538EFA" w14:textId="27BD6475"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w:t>
            </w:r>
          </w:p>
        </w:tc>
        <w:tc>
          <w:tcPr>
            <w:tcW w:w="9214" w:type="dxa"/>
            <w:tcBorders>
              <w:top w:val="single" w:sz="4" w:space="0" w:color="auto"/>
              <w:bottom w:val="single" w:sz="4" w:space="0" w:color="auto"/>
              <w:right w:val="single" w:sz="12" w:space="0" w:color="auto"/>
            </w:tcBorders>
            <w:vAlign w:val="center"/>
          </w:tcPr>
          <w:p w14:paraId="44A0F066" w14:textId="13940346" w:rsidR="008211E7" w:rsidRPr="002314BB" w:rsidRDefault="008C6AE7" w:rsidP="008211E7">
            <w:pPr>
              <w:pStyle w:val="Bezriadkovania"/>
              <w:jc w:val="both"/>
              <w:rPr>
                <w:rFonts w:eastAsia="Times New Roman" w:cstheme="minorHAnsi"/>
                <w:lang w:eastAsia="sk-SK"/>
              </w:rPr>
            </w:pPr>
            <w:r w:rsidRPr="002314BB">
              <w:rPr>
                <w:rFonts w:eastAsia="Times New Roman" w:cstheme="minorHAnsi"/>
                <w:lang w:eastAsia="sk-SK"/>
              </w:rPr>
              <w:t xml:space="preserve">Zvýšená kapacita zariadení na triedenie odpadov.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8211E7" w:rsidRPr="002314BB" w14:paraId="17252E69" w14:textId="77777777" w:rsidTr="00AB0038">
        <w:trPr>
          <w:trHeight w:val="3401"/>
        </w:trPr>
        <w:tc>
          <w:tcPr>
            <w:tcW w:w="3671" w:type="dxa"/>
            <w:tcBorders>
              <w:top w:val="single" w:sz="4" w:space="0" w:color="auto"/>
              <w:left w:val="single" w:sz="12" w:space="0" w:color="auto"/>
              <w:bottom w:val="single" w:sz="4" w:space="0" w:color="auto"/>
            </w:tcBorders>
            <w:shd w:val="clear" w:color="auto" w:fill="auto"/>
            <w:vAlign w:val="center"/>
          </w:tcPr>
          <w:p w14:paraId="3FBA4657" w14:textId="77777777" w:rsidR="008211E7" w:rsidRPr="002314BB" w:rsidRDefault="008211E7" w:rsidP="00616EB4">
            <w:pPr>
              <w:rPr>
                <w:rFonts w:eastAsia="Times New Roman" w:cstheme="minorHAnsi"/>
                <w:b/>
                <w:lang w:eastAsia="sk-SK"/>
              </w:rPr>
            </w:pPr>
            <w:r w:rsidRPr="002314BB">
              <w:rPr>
                <w:rFonts w:eastAsia="Times New Roman" w:cstheme="minorHAnsi"/>
                <w:b/>
                <w:lang w:eastAsia="sk-SK"/>
              </w:rPr>
              <w:lastRenderedPageBreak/>
              <w:t>Množstvo recyklovaných komunálnych odpadov - kovy</w:t>
            </w:r>
          </w:p>
          <w:p w14:paraId="214B5C2B"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631BADF1" w14:textId="68294D65"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6A075D62" w14:textId="49D4EF2C" w:rsidR="008C6AE7" w:rsidRPr="002314BB" w:rsidRDefault="008C6AE7" w:rsidP="00540F89">
            <w:pPr>
              <w:pStyle w:val="Bezriadkovania"/>
              <w:jc w:val="both"/>
              <w:rPr>
                <w:rFonts w:eastAsia="Times New Roman" w:cstheme="minorHAnsi"/>
                <w:lang w:eastAsia="sk-SK"/>
              </w:rPr>
            </w:pPr>
            <w:r w:rsidRPr="002314BB">
              <w:rPr>
                <w:rFonts w:eastAsia="Times New Roman" w:cstheme="minorHAnsi"/>
                <w:lang w:eastAsia="sk-SK"/>
              </w:rPr>
              <w:t>Celkové množstvo zložky komunálneho odpadu - kovy, ktorá bola recyklovaná za obdobie jedného kalendárneho roka prostredníctvom zrealizovaných projektov. V prípade projektu zameraného na</w:t>
            </w:r>
            <w:r w:rsidR="002314BB">
              <w:rPr>
                <w:rFonts w:eastAsia="Times New Roman" w:cstheme="minorHAnsi"/>
                <w:lang w:eastAsia="sk-SK"/>
              </w:rPr>
              <w:t> </w:t>
            </w:r>
            <w:r w:rsidRPr="002314BB">
              <w:rPr>
                <w:rFonts w:eastAsia="Times New Roman" w:cstheme="minorHAnsi"/>
                <w:lang w:eastAsia="sk-SK"/>
              </w:rPr>
              <w:t xml:space="preserve">rekonštrukciu existujúcich zariadení na recykláciu zložky komunálnych odpadov - kovy sa vykazuje iba množstvo recyklovaného odpadu, o ktoré sa zvýšilo (t. j. rozdiel medzi množstvom recyklovaného odpadu po a pred realizáciou projektu).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p w14:paraId="37ECEBF7" w14:textId="77777777" w:rsidR="008211E7" w:rsidRPr="002314BB" w:rsidRDefault="008211E7" w:rsidP="00540F89">
            <w:pPr>
              <w:pStyle w:val="Bezriadkovania"/>
              <w:jc w:val="both"/>
              <w:rPr>
                <w:rFonts w:eastAsia="Times New Roman" w:cstheme="minorHAnsi"/>
                <w:lang w:eastAsia="sk-SK"/>
              </w:rPr>
            </w:pPr>
          </w:p>
        </w:tc>
      </w:tr>
      <w:tr w:rsidR="008211E7" w:rsidRPr="002314BB" w14:paraId="6CE7FB3B" w14:textId="77777777" w:rsidTr="00AB0038">
        <w:trPr>
          <w:trHeight w:val="694"/>
        </w:trPr>
        <w:tc>
          <w:tcPr>
            <w:tcW w:w="3671" w:type="dxa"/>
            <w:tcBorders>
              <w:top w:val="single" w:sz="4" w:space="0" w:color="auto"/>
              <w:left w:val="single" w:sz="12" w:space="0" w:color="auto"/>
              <w:bottom w:val="single" w:sz="4" w:space="0" w:color="auto"/>
            </w:tcBorders>
            <w:shd w:val="clear" w:color="auto" w:fill="auto"/>
            <w:vAlign w:val="center"/>
          </w:tcPr>
          <w:p w14:paraId="2B55F6AC" w14:textId="77777777" w:rsidR="008211E7" w:rsidRPr="002314BB" w:rsidRDefault="008211E7" w:rsidP="00AB0038">
            <w:pPr>
              <w:rPr>
                <w:rFonts w:eastAsia="Times New Roman" w:cstheme="minorHAnsi"/>
                <w:b/>
                <w:lang w:eastAsia="sk-SK"/>
              </w:rPr>
            </w:pPr>
            <w:r w:rsidRPr="002314BB">
              <w:rPr>
                <w:rFonts w:eastAsia="Times New Roman" w:cstheme="minorHAnsi"/>
                <w:b/>
                <w:lang w:eastAsia="sk-SK"/>
              </w:rPr>
              <w:t>Množstvo recyklovaných komunálnych odpadov - papier</w:t>
            </w:r>
          </w:p>
          <w:p w14:paraId="302B80EA"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0FFD6096" w14:textId="1BE4F3FC"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tcPr>
          <w:p w14:paraId="066F0A3A" w14:textId="44381627" w:rsidR="008211E7" w:rsidRPr="002314BB" w:rsidRDefault="00540F89" w:rsidP="008211E7">
            <w:pPr>
              <w:pStyle w:val="Bezriadkovania"/>
              <w:jc w:val="both"/>
              <w:rPr>
                <w:rFonts w:eastAsia="Times New Roman" w:cstheme="minorHAnsi"/>
                <w:lang w:eastAsia="sk-SK"/>
              </w:rPr>
            </w:pPr>
            <w:r w:rsidRPr="002314BB">
              <w:rPr>
                <w:rFonts w:eastAsia="Times New Roman" w:cstheme="minorHAnsi"/>
                <w:lang w:eastAsia="sk-SK"/>
              </w:rPr>
              <w:t>Celkové množstvo zložky komunálneho odpadu</w:t>
            </w:r>
            <w:r w:rsidR="008211E7" w:rsidRPr="002314BB">
              <w:rPr>
                <w:rFonts w:eastAsia="Times New Roman" w:cstheme="minorHAnsi"/>
                <w:lang w:eastAsia="sk-SK"/>
              </w:rPr>
              <w:t xml:space="preserve"> - pa</w:t>
            </w:r>
            <w:r w:rsidRPr="002314BB">
              <w:rPr>
                <w:rFonts w:eastAsia="Times New Roman" w:cstheme="minorHAnsi"/>
                <w:lang w:eastAsia="sk-SK"/>
              </w:rPr>
              <w:t>pier, ktorá bola recyklovaná za </w:t>
            </w:r>
            <w:r w:rsidR="008211E7" w:rsidRPr="002314BB">
              <w:rPr>
                <w:rFonts w:eastAsia="Times New Roman" w:cstheme="minorHAnsi"/>
                <w:lang w:eastAsia="sk-SK"/>
              </w:rPr>
              <w:t>obdobie jedného kalendárneho roka prostredníctvom zrealizovaných projektov. V prípade projektu zameraného na</w:t>
            </w:r>
            <w:r w:rsidR="002314BB">
              <w:rPr>
                <w:rFonts w:eastAsia="Times New Roman" w:cstheme="minorHAnsi"/>
                <w:lang w:eastAsia="sk-SK"/>
              </w:rPr>
              <w:t> </w:t>
            </w:r>
            <w:r w:rsidR="008211E7" w:rsidRPr="002314BB">
              <w:rPr>
                <w:rFonts w:eastAsia="Times New Roman" w:cstheme="minorHAnsi"/>
                <w:lang w:eastAsia="sk-SK"/>
              </w:rPr>
              <w:t>rekonštrukciu existujúcich z</w:t>
            </w:r>
            <w:r w:rsidRPr="002314BB">
              <w:rPr>
                <w:rFonts w:eastAsia="Times New Roman" w:cstheme="minorHAnsi"/>
                <w:lang w:eastAsia="sk-SK"/>
              </w:rPr>
              <w:t>ariadení na recykláciu zložky komunálneho odpadu</w:t>
            </w:r>
            <w:r w:rsidR="008211E7" w:rsidRPr="002314BB">
              <w:rPr>
                <w:rFonts w:eastAsia="Times New Roman" w:cstheme="minorHAnsi"/>
                <w:lang w:eastAsia="sk-SK"/>
              </w:rPr>
              <w:t xml:space="preserve"> - papier sa vykazuje iba množstvo recyklovaného odpadu, o ktoré sa zvýšilo (t.</w:t>
            </w:r>
            <w:r w:rsidRPr="002314BB">
              <w:rPr>
                <w:rFonts w:eastAsia="Times New Roman" w:cstheme="minorHAnsi"/>
                <w:lang w:eastAsia="sk-SK"/>
              </w:rPr>
              <w:t xml:space="preserve"> </w:t>
            </w:r>
            <w:r w:rsidR="008211E7" w:rsidRPr="002314BB">
              <w:rPr>
                <w:rFonts w:eastAsia="Times New Roman" w:cstheme="minorHAnsi"/>
                <w:lang w:eastAsia="sk-SK"/>
              </w:rPr>
              <w:t xml:space="preserve">j. rozdiel medzi množstvom </w:t>
            </w:r>
            <w:r w:rsidRPr="002314BB">
              <w:rPr>
                <w:rFonts w:eastAsia="Times New Roman" w:cstheme="minorHAnsi"/>
                <w:lang w:eastAsia="sk-SK"/>
              </w:rPr>
              <w:t>recyklovaného odpadu po a pred </w:t>
            </w:r>
            <w:r w:rsidR="008211E7" w:rsidRPr="002314BB">
              <w:rPr>
                <w:rFonts w:eastAsia="Times New Roman" w:cstheme="minorHAnsi"/>
                <w:lang w:eastAsia="sk-SK"/>
              </w:rPr>
              <w:t>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3C78D84C" w14:textId="77777777" w:rsidTr="00AB0038">
        <w:trPr>
          <w:trHeight w:val="2972"/>
        </w:trPr>
        <w:tc>
          <w:tcPr>
            <w:tcW w:w="3671" w:type="dxa"/>
            <w:tcBorders>
              <w:top w:val="single" w:sz="4" w:space="0" w:color="auto"/>
              <w:left w:val="single" w:sz="12" w:space="0" w:color="auto"/>
              <w:bottom w:val="single" w:sz="4" w:space="0" w:color="auto"/>
            </w:tcBorders>
            <w:shd w:val="clear" w:color="auto" w:fill="auto"/>
            <w:vAlign w:val="center"/>
          </w:tcPr>
          <w:p w14:paraId="395B6E22" w14:textId="77777777" w:rsidR="008211E7" w:rsidRPr="002314BB" w:rsidRDefault="008211E7" w:rsidP="00616EB4">
            <w:pPr>
              <w:rPr>
                <w:rFonts w:eastAsia="Times New Roman" w:cstheme="minorHAnsi"/>
                <w:b/>
                <w:lang w:eastAsia="sk-SK"/>
              </w:rPr>
            </w:pPr>
            <w:r w:rsidRPr="002314BB">
              <w:rPr>
                <w:rFonts w:eastAsia="Times New Roman" w:cstheme="minorHAnsi"/>
                <w:b/>
                <w:lang w:eastAsia="sk-SK"/>
              </w:rPr>
              <w:t>Množstvo recyklovaných komunálnych odpadov - plasty</w:t>
            </w:r>
          </w:p>
          <w:p w14:paraId="547236A0"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3CA67D47" w14:textId="039CCF3E"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5A20EEDF" w14:textId="2FD34886" w:rsidR="008211E7" w:rsidRPr="002314BB" w:rsidRDefault="00540F89" w:rsidP="00540F89">
            <w:pPr>
              <w:pStyle w:val="Bezriadkovania"/>
              <w:jc w:val="both"/>
              <w:rPr>
                <w:rFonts w:eastAsia="Times New Roman" w:cstheme="minorHAnsi"/>
                <w:lang w:eastAsia="sk-SK"/>
              </w:rPr>
            </w:pPr>
            <w:r w:rsidRPr="002314BB">
              <w:rPr>
                <w:rFonts w:eastAsia="Times New Roman" w:cstheme="minorHAnsi"/>
                <w:lang w:eastAsia="sk-SK"/>
              </w:rPr>
              <w:t>Celkové množstvo zložky komunálneho odpadu</w:t>
            </w:r>
            <w:r w:rsidR="008211E7" w:rsidRPr="002314BB">
              <w:rPr>
                <w:rFonts w:eastAsia="Times New Roman" w:cstheme="minorHAnsi"/>
                <w:lang w:eastAsia="sk-SK"/>
              </w:rPr>
              <w:t xml:space="preserve"> - pl</w:t>
            </w:r>
            <w:r w:rsidRPr="002314BB">
              <w:rPr>
                <w:rFonts w:eastAsia="Times New Roman" w:cstheme="minorHAnsi"/>
                <w:lang w:eastAsia="sk-SK"/>
              </w:rPr>
              <w:t>asty, ktorá bola recyklovaná za </w:t>
            </w:r>
            <w:r w:rsidR="008211E7" w:rsidRPr="002314BB">
              <w:rPr>
                <w:rFonts w:eastAsia="Times New Roman" w:cstheme="minorHAnsi"/>
                <w:lang w:eastAsia="sk-SK"/>
              </w:rPr>
              <w:t>obdobie jedného kalendárneho roka prostredníctvom zrealizovaných projektov. V prípade projektu zameraného na</w:t>
            </w:r>
            <w:r w:rsidR="00371FFA">
              <w:rPr>
                <w:rFonts w:eastAsia="Times New Roman" w:cstheme="minorHAnsi"/>
                <w:lang w:eastAsia="sk-SK"/>
              </w:rPr>
              <w:t> </w:t>
            </w:r>
            <w:r w:rsidR="008211E7" w:rsidRPr="002314BB">
              <w:rPr>
                <w:rFonts w:eastAsia="Times New Roman" w:cstheme="minorHAnsi"/>
                <w:lang w:eastAsia="sk-SK"/>
              </w:rPr>
              <w:t>rekonštrukciu existujúcich zariade</w:t>
            </w:r>
            <w:r w:rsidRPr="002314BB">
              <w:rPr>
                <w:rFonts w:eastAsia="Times New Roman" w:cstheme="minorHAnsi"/>
                <w:lang w:eastAsia="sk-SK"/>
              </w:rPr>
              <w:t>ní na </w:t>
            </w:r>
            <w:r w:rsidR="008211E7" w:rsidRPr="002314BB">
              <w:rPr>
                <w:rFonts w:eastAsia="Times New Roman" w:cstheme="minorHAnsi"/>
                <w:lang w:eastAsia="sk-SK"/>
              </w:rPr>
              <w:t>recykláciu zložky KO - plasty sa vykazuje iba množstvo recyklovaného odpadu, o ktoré sa zvýšilo (t.</w:t>
            </w:r>
            <w:r w:rsidRPr="002314BB">
              <w:rPr>
                <w:rFonts w:eastAsia="Times New Roman" w:cstheme="minorHAnsi"/>
                <w:lang w:eastAsia="sk-SK"/>
              </w:rPr>
              <w:t xml:space="preserve"> </w:t>
            </w:r>
            <w:r w:rsidR="008211E7" w:rsidRPr="002314BB">
              <w:rPr>
                <w:rFonts w:eastAsia="Times New Roman" w:cstheme="minorHAnsi"/>
                <w:lang w:eastAsia="sk-SK"/>
              </w:rPr>
              <w:t>j. rozdiel medzi množstvom recyklovaného odpadu po a pred 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3A3AE756" w14:textId="77777777" w:rsidTr="00AB0038">
        <w:trPr>
          <w:trHeight w:val="2958"/>
        </w:trPr>
        <w:tc>
          <w:tcPr>
            <w:tcW w:w="3671" w:type="dxa"/>
            <w:tcBorders>
              <w:top w:val="single" w:sz="4" w:space="0" w:color="auto"/>
              <w:left w:val="single" w:sz="12" w:space="0" w:color="auto"/>
              <w:bottom w:val="single" w:sz="4" w:space="0" w:color="auto"/>
            </w:tcBorders>
            <w:shd w:val="clear" w:color="auto" w:fill="auto"/>
            <w:vAlign w:val="center"/>
          </w:tcPr>
          <w:p w14:paraId="4A24571E" w14:textId="77777777" w:rsidR="008211E7" w:rsidRPr="002314BB" w:rsidRDefault="008211E7" w:rsidP="00616EB4">
            <w:pPr>
              <w:rPr>
                <w:rFonts w:eastAsia="Times New Roman" w:cstheme="minorHAnsi"/>
                <w:b/>
                <w:lang w:eastAsia="sk-SK"/>
              </w:rPr>
            </w:pPr>
            <w:r w:rsidRPr="002314BB">
              <w:rPr>
                <w:rFonts w:eastAsia="Times New Roman" w:cstheme="minorHAnsi"/>
                <w:b/>
                <w:lang w:eastAsia="sk-SK"/>
              </w:rPr>
              <w:lastRenderedPageBreak/>
              <w:t>Množstvo recyklovaných komunálnych odpadov - sklo</w:t>
            </w:r>
          </w:p>
          <w:p w14:paraId="0B59CC8B"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0F08AB8B" w14:textId="6F2F0472"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5AA9AC11" w14:textId="4F1FD913" w:rsidR="008211E7" w:rsidRPr="002314BB" w:rsidRDefault="008211E7" w:rsidP="00540F89">
            <w:pPr>
              <w:pStyle w:val="Bezriadkovania"/>
              <w:jc w:val="both"/>
              <w:rPr>
                <w:rFonts w:eastAsia="Times New Roman" w:cstheme="minorHAnsi"/>
                <w:lang w:eastAsia="sk-SK"/>
              </w:rPr>
            </w:pPr>
            <w:r w:rsidRPr="002314BB">
              <w:rPr>
                <w:rFonts w:eastAsia="Times New Roman" w:cstheme="minorHAnsi"/>
                <w:lang w:eastAsia="sk-SK"/>
              </w:rPr>
              <w:t xml:space="preserve">Celkové </w:t>
            </w:r>
            <w:r w:rsidR="00540F89" w:rsidRPr="002314BB">
              <w:rPr>
                <w:rFonts w:eastAsia="Times New Roman" w:cstheme="minorHAnsi"/>
                <w:lang w:eastAsia="sk-SK"/>
              </w:rPr>
              <w:t>množstvo zložky komunálneho odpadu</w:t>
            </w:r>
            <w:r w:rsidRPr="002314BB">
              <w:rPr>
                <w:rFonts w:eastAsia="Times New Roman" w:cstheme="minorHAnsi"/>
                <w:lang w:eastAsia="sk-SK"/>
              </w:rPr>
              <w:t xml:space="preserve"> - </w:t>
            </w:r>
            <w:r w:rsidR="00540F89" w:rsidRPr="002314BB">
              <w:rPr>
                <w:rFonts w:eastAsia="Times New Roman" w:cstheme="minorHAnsi"/>
                <w:lang w:eastAsia="sk-SK"/>
              </w:rPr>
              <w:t>sklo, ktorá bola recyklovaná za </w:t>
            </w:r>
            <w:r w:rsidRPr="002314BB">
              <w:rPr>
                <w:rFonts w:eastAsia="Times New Roman" w:cstheme="minorHAnsi"/>
                <w:lang w:eastAsia="sk-SK"/>
              </w:rPr>
              <w:t>obdobie jedného kalendárneho roka prostredníctvom zrealizovaných projektov. V prípade projektu zameraného na</w:t>
            </w:r>
            <w:r w:rsidR="00371FFA">
              <w:rPr>
                <w:rFonts w:eastAsia="Times New Roman" w:cstheme="minorHAnsi"/>
                <w:lang w:eastAsia="sk-SK"/>
              </w:rPr>
              <w:t> </w:t>
            </w:r>
            <w:r w:rsidRPr="002314BB">
              <w:rPr>
                <w:rFonts w:eastAsia="Times New Roman" w:cstheme="minorHAnsi"/>
                <w:lang w:eastAsia="sk-SK"/>
              </w:rPr>
              <w:t>rekonštr</w:t>
            </w:r>
            <w:r w:rsidR="00540F89" w:rsidRPr="002314BB">
              <w:rPr>
                <w:rFonts w:eastAsia="Times New Roman" w:cstheme="minorHAnsi"/>
                <w:lang w:eastAsia="sk-SK"/>
              </w:rPr>
              <w:t>ukciu existujúcich zariadení na </w:t>
            </w:r>
            <w:r w:rsidRPr="002314BB">
              <w:rPr>
                <w:rFonts w:eastAsia="Times New Roman" w:cstheme="minorHAnsi"/>
                <w:lang w:eastAsia="sk-SK"/>
              </w:rPr>
              <w:t>recykláciu zložky KO - sklo sa vykazuje iba množstvo recyklovaného odpadu, o ktoré sa zvýšilo (t.</w:t>
            </w:r>
            <w:r w:rsidR="00540F89" w:rsidRPr="002314BB">
              <w:rPr>
                <w:rFonts w:eastAsia="Times New Roman" w:cstheme="minorHAnsi"/>
                <w:lang w:eastAsia="sk-SK"/>
              </w:rPr>
              <w:t xml:space="preserve"> </w:t>
            </w:r>
            <w:r w:rsidRPr="002314BB">
              <w:rPr>
                <w:rFonts w:eastAsia="Times New Roman" w:cstheme="minorHAnsi"/>
                <w:lang w:eastAsia="sk-SK"/>
              </w:rPr>
              <w:t>j. rozdiel medzi množstvom recyklovaného odpadu po a pred 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7AA015A2" w14:textId="77777777" w:rsidTr="00AB0038">
        <w:trPr>
          <w:trHeight w:val="3255"/>
        </w:trPr>
        <w:tc>
          <w:tcPr>
            <w:tcW w:w="3671" w:type="dxa"/>
            <w:tcBorders>
              <w:top w:val="single" w:sz="4" w:space="0" w:color="auto"/>
              <w:left w:val="single" w:sz="12" w:space="0" w:color="auto"/>
              <w:bottom w:val="single" w:sz="4" w:space="0" w:color="auto"/>
            </w:tcBorders>
            <w:shd w:val="clear" w:color="auto" w:fill="auto"/>
            <w:vAlign w:val="center"/>
          </w:tcPr>
          <w:p w14:paraId="7E286F3A" w14:textId="25A5C1FF"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 xml:space="preserve">Množstvo vytriedeného kuchynského biologicky </w:t>
            </w:r>
            <w:r w:rsidR="00540F89" w:rsidRPr="002314BB">
              <w:rPr>
                <w:rFonts w:eastAsia="Times New Roman" w:cstheme="minorHAnsi"/>
                <w:b/>
                <w:lang w:eastAsia="sk-SK"/>
              </w:rPr>
              <w:t>rozložiteľného</w:t>
            </w:r>
            <w:r w:rsidRPr="002314BB">
              <w:rPr>
                <w:rFonts w:eastAsia="Times New Roman" w:cstheme="minorHAnsi"/>
                <w:b/>
                <w:lang w:eastAsia="sk-SK"/>
              </w:rPr>
              <w:t xml:space="preserve"> odpadu</w:t>
            </w:r>
            <w:r w:rsidR="00540F89" w:rsidRPr="002314BB">
              <w:rPr>
                <w:rFonts w:eastAsia="Times New Roman" w:cstheme="minorHAnsi"/>
                <w:b/>
                <w:lang w:eastAsia="sk-SK"/>
              </w:rPr>
              <w:t xml:space="preserve"> (BRO)</w:t>
            </w:r>
          </w:p>
        </w:tc>
        <w:tc>
          <w:tcPr>
            <w:tcW w:w="1134" w:type="dxa"/>
            <w:tcBorders>
              <w:top w:val="single" w:sz="4" w:space="0" w:color="auto"/>
              <w:bottom w:val="single" w:sz="4" w:space="0" w:color="auto"/>
            </w:tcBorders>
            <w:vAlign w:val="center"/>
          </w:tcPr>
          <w:p w14:paraId="70400864" w14:textId="50C76374"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0C3F3C0D" w14:textId="5978E924" w:rsidR="008211E7" w:rsidRPr="002314BB" w:rsidRDefault="008211E7" w:rsidP="00540F89">
            <w:pPr>
              <w:pStyle w:val="Bezriadkovania"/>
              <w:jc w:val="both"/>
              <w:rPr>
                <w:rFonts w:eastAsia="Times New Roman" w:cstheme="minorHAnsi"/>
                <w:lang w:eastAsia="sk-SK"/>
              </w:rPr>
            </w:pPr>
            <w:r w:rsidRPr="002314BB">
              <w:rPr>
                <w:rFonts w:eastAsia="Times New Roman" w:cstheme="minorHAnsi"/>
                <w:lang w:eastAsia="sk-SK"/>
              </w:rPr>
              <w:t>Množstvo vytriedeného kuchynského BRO, ktorý bol vytriedený počas jedného kalendárneho roka prostredníctvom zrealizovaných projektov. V prípade projektov zameraných na rozšírenie (intenzifikáciu) existujúceho systému triedeného zberu BRO sa vykazuje iba zvýšené množstvo vytriedeného kuchanského BRO (t.</w:t>
            </w:r>
            <w:r w:rsidR="00540F89" w:rsidRPr="002314BB">
              <w:rPr>
                <w:rFonts w:eastAsia="Times New Roman" w:cstheme="minorHAnsi"/>
                <w:lang w:eastAsia="sk-SK"/>
              </w:rPr>
              <w:t xml:space="preserve"> </w:t>
            </w:r>
            <w:r w:rsidRPr="002314BB">
              <w:rPr>
                <w:rFonts w:eastAsia="Times New Roman" w:cstheme="minorHAnsi"/>
                <w:lang w:eastAsia="sk-SK"/>
              </w:rPr>
              <w:t>j. rozdiel medzi množstvom vytriedeného kuchanského BRO po a pred 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p w14:paraId="638EDC23" w14:textId="77777777" w:rsidR="008211E7" w:rsidRPr="002314BB" w:rsidRDefault="008211E7" w:rsidP="00540F89">
            <w:pPr>
              <w:pStyle w:val="Bezriadkovania"/>
              <w:jc w:val="both"/>
              <w:rPr>
                <w:rFonts w:eastAsia="Times New Roman" w:cstheme="minorHAnsi"/>
                <w:lang w:eastAsia="sk-SK"/>
              </w:rPr>
            </w:pPr>
          </w:p>
        </w:tc>
      </w:tr>
      <w:tr w:rsidR="008211E7" w:rsidRPr="002314BB" w14:paraId="46A5FE4F" w14:textId="77777777" w:rsidTr="00604F9B">
        <w:trPr>
          <w:trHeight w:val="5528"/>
        </w:trPr>
        <w:tc>
          <w:tcPr>
            <w:tcW w:w="3671" w:type="dxa"/>
            <w:tcBorders>
              <w:top w:val="single" w:sz="4" w:space="0" w:color="auto"/>
              <w:left w:val="single" w:sz="12" w:space="0" w:color="auto"/>
              <w:bottom w:val="single" w:sz="4" w:space="0" w:color="auto"/>
            </w:tcBorders>
            <w:shd w:val="clear" w:color="auto" w:fill="auto"/>
            <w:vAlign w:val="center"/>
          </w:tcPr>
          <w:p w14:paraId="326C4E36" w14:textId="1C33B8AA"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lastRenderedPageBreak/>
              <w:t>Počet realizovaných prvkov zelenej infraštruktúry</w:t>
            </w:r>
          </w:p>
        </w:tc>
        <w:tc>
          <w:tcPr>
            <w:tcW w:w="1134" w:type="dxa"/>
            <w:tcBorders>
              <w:top w:val="single" w:sz="4" w:space="0" w:color="auto"/>
              <w:bottom w:val="single" w:sz="4" w:space="0" w:color="auto"/>
            </w:tcBorders>
            <w:vAlign w:val="center"/>
          </w:tcPr>
          <w:p w14:paraId="00013A0C" w14:textId="0740031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3DC24438" w14:textId="77777777" w:rsidR="008211E7" w:rsidRPr="002314BB" w:rsidRDefault="008211E7" w:rsidP="00FC48FB">
            <w:pPr>
              <w:jc w:val="both"/>
              <w:rPr>
                <w:rFonts w:eastAsia="Times New Roman" w:cstheme="minorHAnsi"/>
                <w:lang w:eastAsia="sk-SK"/>
              </w:rPr>
            </w:pPr>
            <w:r w:rsidRPr="002314BB">
              <w:rPr>
                <w:rFonts w:eastAsia="Times New Roman" w:cstheme="minorHAnsi"/>
                <w:lang w:eastAsia="sk-SK"/>
              </w:rPr>
              <w:t>Celkový počet prvkov zelenej infraštruktúry na miestnej úrovni zrealizovaných prostredníctvom projektov.</w:t>
            </w:r>
          </w:p>
          <w:p w14:paraId="4A1C9C53" w14:textId="7A56BA36"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Prvkom zelenej infraštruktúry sa rozumie strategicky plánovaná sieť prírodných a poloprírodných oblastí s inými environmentálnymi vlastnosťami, ktoré sú vytvorené a riadené tak, aby poskytovali široký r</w:t>
            </w:r>
            <w:r w:rsidR="00FC48FB" w:rsidRPr="002314BB">
              <w:rPr>
                <w:rFonts w:eastAsia="Times New Roman" w:cstheme="minorHAnsi"/>
                <w:lang w:eastAsia="sk-SK"/>
              </w:rPr>
              <w:t>ozsah ekosystémových služieb. V </w:t>
            </w:r>
            <w:r w:rsidRPr="002314BB">
              <w:rPr>
                <w:rFonts w:eastAsia="Times New Roman" w:cstheme="minorHAnsi"/>
                <w:lang w:eastAsia="sk-SK"/>
              </w:rPr>
              <w:t xml:space="preserve">prípade realizácie viacerých prvkov zelenej </w:t>
            </w:r>
            <w:r w:rsidR="00FC48FB" w:rsidRPr="002314BB">
              <w:rPr>
                <w:rFonts w:eastAsia="Times New Roman" w:cstheme="minorHAnsi"/>
                <w:lang w:eastAsia="sk-SK"/>
              </w:rPr>
              <w:t>infraštruktúry rovnakého typu v </w:t>
            </w:r>
            <w:r w:rsidRPr="002314BB">
              <w:rPr>
                <w:rFonts w:eastAsia="Times New Roman" w:cstheme="minorHAnsi"/>
                <w:lang w:eastAsia="sk-SK"/>
              </w:rPr>
              <w:t xml:space="preserve">rámci jedného projektu, budú považované za 1 prvok (napr. vybudovanie 3 migračných prvkov v rámci jednej lokality). Zarátavanie viacerých prvkov zelenej </w:t>
            </w:r>
            <w:r w:rsidR="00FC48FB" w:rsidRPr="002314BB">
              <w:rPr>
                <w:rFonts w:eastAsia="Times New Roman" w:cstheme="minorHAnsi"/>
                <w:lang w:eastAsia="sk-SK"/>
              </w:rPr>
              <w:t>infraštruktúry rovnakého typu v </w:t>
            </w:r>
            <w:r w:rsidRPr="002314BB">
              <w:rPr>
                <w:rFonts w:eastAsia="Times New Roman" w:cstheme="minorHAnsi"/>
                <w:lang w:eastAsia="sk-SK"/>
              </w:rPr>
              <w:t>rá</w:t>
            </w:r>
            <w:r w:rsidR="00FC48FB" w:rsidRPr="002314BB">
              <w:rPr>
                <w:rFonts w:eastAsia="Times New Roman" w:cstheme="minorHAnsi"/>
                <w:lang w:eastAsia="sk-SK"/>
              </w:rPr>
              <w:t>mci jedného projektu je možné v </w:t>
            </w:r>
            <w:r w:rsidRPr="002314BB">
              <w:rPr>
                <w:rFonts w:eastAsia="Times New Roman" w:cstheme="minorHAnsi"/>
                <w:lang w:eastAsia="sk-SK"/>
              </w:rPr>
              <w:t xml:space="preserve">prípade, ak daný prvok zelenej infraštruktúry vytvára samostatný funkčný celok, ktorý plní nezávislú funkciu oproti iným prvkom zelenej infraštruktúry, ktoré budú vybudované v rámci jedného projektu </w:t>
            </w:r>
            <w:r w:rsidR="00FC48FB" w:rsidRPr="002314BB">
              <w:rPr>
                <w:rFonts w:eastAsia="Times New Roman" w:cstheme="minorHAnsi"/>
                <w:lang w:eastAsia="sk-SK"/>
              </w:rPr>
              <w:t>(napr. tri vetrolamy vysadené v </w:t>
            </w:r>
            <w:r w:rsidRPr="002314BB">
              <w:rPr>
                <w:rFonts w:eastAsia="Times New Roman" w:cstheme="minorHAnsi"/>
                <w:lang w:eastAsia="sk-SK"/>
              </w:rPr>
              <w:t>rámci troch nezávislých prístupových ciest do jednej obce).</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77D27417"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1B8E22D1" w14:textId="10AFFD6A" w:rsidR="008211E7" w:rsidRPr="002314BB" w:rsidRDefault="008211E7" w:rsidP="00285A83">
            <w:pPr>
              <w:ind w:right="-103"/>
              <w:rPr>
                <w:rFonts w:eastAsia="Times New Roman" w:cstheme="minorHAnsi"/>
                <w:b/>
                <w:lang w:eastAsia="sk-SK"/>
              </w:rPr>
            </w:pPr>
            <w:r w:rsidRPr="002314BB">
              <w:rPr>
                <w:rFonts w:eastAsia="Times New Roman" w:cstheme="minorHAnsi"/>
                <w:b/>
                <w:lang w:eastAsia="sk-SK"/>
              </w:rPr>
              <w:t>Kapacita na zadržanie dažďovej vody v sídlach</w:t>
            </w:r>
          </w:p>
        </w:tc>
        <w:tc>
          <w:tcPr>
            <w:tcW w:w="1134" w:type="dxa"/>
            <w:tcBorders>
              <w:top w:val="single" w:sz="4" w:space="0" w:color="auto"/>
              <w:bottom w:val="single" w:sz="4" w:space="0" w:color="auto"/>
            </w:tcBorders>
            <w:vAlign w:val="center"/>
          </w:tcPr>
          <w:p w14:paraId="36DA64A6" w14:textId="4A998B0C"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m3</w:t>
            </w:r>
          </w:p>
        </w:tc>
        <w:tc>
          <w:tcPr>
            <w:tcW w:w="9214" w:type="dxa"/>
            <w:tcBorders>
              <w:top w:val="single" w:sz="4" w:space="0" w:color="auto"/>
              <w:bottom w:val="single" w:sz="4" w:space="0" w:color="auto"/>
              <w:right w:val="single" w:sz="12" w:space="0" w:color="auto"/>
            </w:tcBorders>
            <w:vAlign w:val="center"/>
          </w:tcPr>
          <w:p w14:paraId="7353FB09" w14:textId="73980847"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Kapaci</w:t>
            </w:r>
            <w:r w:rsidR="00FC48FB" w:rsidRPr="002314BB">
              <w:rPr>
                <w:rFonts w:eastAsia="Times New Roman" w:cstheme="minorHAnsi"/>
                <w:lang w:eastAsia="sk-SK"/>
              </w:rPr>
              <w:t>ta na zadržanie dažďovej vody v </w:t>
            </w:r>
            <w:r w:rsidRPr="002314BB">
              <w:rPr>
                <w:rFonts w:eastAsia="Times New Roman" w:cstheme="minorHAnsi"/>
                <w:lang w:eastAsia="sk-SK"/>
              </w:rPr>
              <w:t>sídlach. Celková kapacita na zadržanie dažďovej vody v sídlach prostredníctvom projektov RP na základe investičnej náročno</w:t>
            </w:r>
            <w:r w:rsidR="00FC48FB" w:rsidRPr="002314BB">
              <w:rPr>
                <w:rFonts w:eastAsia="Times New Roman" w:cstheme="minorHAnsi"/>
                <w:lang w:eastAsia="sk-SK"/>
              </w:rPr>
              <w:t>sti na opatrenie. Podkladom pre </w:t>
            </w:r>
            <w:r w:rsidRPr="002314BB">
              <w:rPr>
                <w:rFonts w:eastAsia="Times New Roman" w:cstheme="minorHAnsi"/>
                <w:lang w:eastAsia="sk-SK"/>
              </w:rPr>
              <w:t xml:space="preserve">stanovenie investičnej náročnosti realizovaných opatrení a ich rozsahu boli </w:t>
            </w:r>
            <w:r w:rsidR="00381B66" w:rsidRPr="002314BB">
              <w:rPr>
                <w:rFonts w:eastAsia="Times New Roman" w:cstheme="minorHAnsi"/>
                <w:lang w:eastAsia="sk-SK"/>
              </w:rPr>
              <w:t>príslušné</w:t>
            </w:r>
            <w:r w:rsidRPr="002314BB">
              <w:rPr>
                <w:rFonts w:eastAsia="Times New Roman" w:cstheme="minorHAnsi"/>
                <w:lang w:eastAsia="sk-SK"/>
              </w:rPr>
              <w:t xml:space="preserve"> územnoplánovacie </w:t>
            </w:r>
            <w:r w:rsidR="00381B66" w:rsidRPr="002314BB">
              <w:rPr>
                <w:rFonts w:eastAsia="Times New Roman" w:cstheme="minorHAnsi"/>
                <w:lang w:eastAsia="sk-SK"/>
              </w:rPr>
              <w:t>dokumentácie</w:t>
            </w:r>
            <w:r w:rsidRPr="002314BB">
              <w:rPr>
                <w:rFonts w:eastAsia="Times New Roman" w:cstheme="minorHAnsi"/>
                <w:lang w:eastAsia="sk-SK"/>
              </w:rPr>
              <w:t xml:space="preserve"> a strategické rozvojové dokumenty obcí.</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0AF6EC25" w14:textId="77777777" w:rsidTr="00AB0038">
        <w:trPr>
          <w:trHeight w:val="1554"/>
        </w:trPr>
        <w:tc>
          <w:tcPr>
            <w:tcW w:w="3671" w:type="dxa"/>
            <w:tcBorders>
              <w:top w:val="single" w:sz="4" w:space="0" w:color="auto"/>
              <w:left w:val="single" w:sz="12" w:space="0" w:color="auto"/>
              <w:bottom w:val="single" w:sz="4" w:space="0" w:color="auto"/>
            </w:tcBorders>
            <w:shd w:val="clear" w:color="auto" w:fill="auto"/>
            <w:vAlign w:val="center"/>
          </w:tcPr>
          <w:p w14:paraId="6E1D17B8" w14:textId="72699094"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Vytvorené alebo obnovené otvorené priestranstvá v mestských oblastiach</w:t>
            </w:r>
          </w:p>
        </w:tc>
        <w:tc>
          <w:tcPr>
            <w:tcW w:w="1134" w:type="dxa"/>
            <w:tcBorders>
              <w:top w:val="single" w:sz="4" w:space="0" w:color="auto"/>
              <w:bottom w:val="single" w:sz="4" w:space="0" w:color="auto"/>
            </w:tcBorders>
            <w:vAlign w:val="center"/>
          </w:tcPr>
          <w:p w14:paraId="6D23CE80" w14:textId="56DC7C05"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m2</w:t>
            </w:r>
          </w:p>
        </w:tc>
        <w:tc>
          <w:tcPr>
            <w:tcW w:w="9214" w:type="dxa"/>
            <w:tcBorders>
              <w:top w:val="single" w:sz="4" w:space="0" w:color="auto"/>
              <w:bottom w:val="single" w:sz="4" w:space="0" w:color="auto"/>
              <w:right w:val="single" w:sz="12" w:space="0" w:color="auto"/>
            </w:tcBorders>
            <w:vAlign w:val="center"/>
          </w:tcPr>
          <w:p w14:paraId="11B5EAA1" w14:textId="5CBC42AE"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Veľkosť obnovených / nových verejne dostupných otvorených priestranstiev</w:t>
            </w:r>
            <w:r w:rsidR="001E78FB" w:rsidRPr="002314BB">
              <w:rPr>
                <w:rFonts w:eastAsia="Times New Roman" w:cstheme="minorHAnsi"/>
                <w:lang w:eastAsia="sk-SK"/>
              </w:rPr>
              <w:t>. MU vychádza z predloženej projektovej dokumentácie/projektovej dokumentácie skutočného vyhotovenia/z predloženého stavebného povolenia/ohlásenia drobnej stavby z internej evidencie prijímateľa podobne.</w:t>
            </w:r>
          </w:p>
        </w:tc>
      </w:tr>
      <w:tr w:rsidR="008211E7" w:rsidRPr="002314BB" w14:paraId="550F3643" w14:textId="77777777" w:rsidTr="00AB0038">
        <w:trPr>
          <w:trHeight w:val="1690"/>
        </w:trPr>
        <w:tc>
          <w:tcPr>
            <w:tcW w:w="3671" w:type="dxa"/>
            <w:tcBorders>
              <w:top w:val="single" w:sz="4" w:space="0" w:color="auto"/>
              <w:left w:val="single" w:sz="12" w:space="0" w:color="auto"/>
              <w:bottom w:val="single" w:sz="12" w:space="0" w:color="auto"/>
            </w:tcBorders>
            <w:shd w:val="clear" w:color="auto" w:fill="auto"/>
            <w:vAlign w:val="center"/>
          </w:tcPr>
          <w:p w14:paraId="4DE0D17E" w14:textId="260283EC"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lastRenderedPageBreak/>
              <w:t>Zníženie ročnej spotreby primárnej energie vo verejných budovách</w:t>
            </w:r>
          </w:p>
        </w:tc>
        <w:tc>
          <w:tcPr>
            <w:tcW w:w="1134" w:type="dxa"/>
            <w:tcBorders>
              <w:top w:val="single" w:sz="4" w:space="0" w:color="auto"/>
              <w:bottom w:val="single" w:sz="12" w:space="0" w:color="auto"/>
            </w:tcBorders>
            <w:vAlign w:val="center"/>
          </w:tcPr>
          <w:p w14:paraId="44D19F9F" w14:textId="56D3B61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kWh/rok</w:t>
            </w:r>
          </w:p>
        </w:tc>
        <w:tc>
          <w:tcPr>
            <w:tcW w:w="9214" w:type="dxa"/>
            <w:tcBorders>
              <w:top w:val="single" w:sz="4" w:space="0" w:color="auto"/>
              <w:bottom w:val="single" w:sz="12" w:space="0" w:color="auto"/>
              <w:right w:val="single" w:sz="12" w:space="0" w:color="auto"/>
            </w:tcBorders>
            <w:vAlign w:val="center"/>
          </w:tcPr>
          <w:p w14:paraId="68AFE4C7" w14:textId="4EA5B65A"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 xml:space="preserve">Hodnota sa vypočíta z energetických </w:t>
            </w:r>
            <w:r w:rsidR="00FC48FB" w:rsidRPr="002314BB">
              <w:rPr>
                <w:rFonts w:eastAsia="Times New Roman" w:cstheme="minorHAnsi"/>
                <w:lang w:eastAsia="sk-SK"/>
              </w:rPr>
              <w:t>certifikátov vydaných pred a po </w:t>
            </w:r>
            <w:r w:rsidRPr="002314BB">
              <w:rPr>
                <w:rFonts w:eastAsia="Times New Roman" w:cstheme="minorHAnsi"/>
                <w:lang w:eastAsia="sk-SK"/>
              </w:rPr>
              <w:t>rekonštrukcii. Ukazovateľ ukáže ce</w:t>
            </w:r>
            <w:r w:rsidR="00FC48FB" w:rsidRPr="002314BB">
              <w:rPr>
                <w:rFonts w:eastAsia="Times New Roman" w:cstheme="minorHAnsi"/>
                <w:lang w:eastAsia="sk-SK"/>
              </w:rPr>
              <w:t>lkový pokles ročnej spotreby do </w:t>
            </w:r>
            <w:r w:rsidRPr="002314BB">
              <w:rPr>
                <w:rFonts w:eastAsia="Times New Roman" w:cstheme="minorHAnsi"/>
                <w:lang w:eastAsia="sk-SK"/>
              </w:rPr>
              <w:t>konca daného obdobia, nie celkovú úsporu energie počas daného obdobia</w:t>
            </w:r>
            <w:r w:rsidR="001E78FB" w:rsidRPr="002314BB">
              <w:rPr>
                <w:rFonts w:eastAsia="Times New Roman" w:cstheme="minorHAnsi"/>
                <w:lang w:eastAsia="sk-SK"/>
              </w:rPr>
              <w:t>.</w:t>
            </w:r>
          </w:p>
          <w:p w14:paraId="38E5703A" w14:textId="7CDA95C0" w:rsidR="001E78FB" w:rsidRPr="002314BB" w:rsidRDefault="001E78FB" w:rsidP="00FC48FB">
            <w:pPr>
              <w:pStyle w:val="Bezriadkovania"/>
              <w:jc w:val="both"/>
              <w:rPr>
                <w:rFonts w:eastAsia="Times New Roman" w:cstheme="minorHAnsi"/>
                <w:lang w:eastAsia="sk-SK"/>
              </w:rPr>
            </w:pPr>
          </w:p>
        </w:tc>
      </w:tr>
    </w:tbl>
    <w:p w14:paraId="13785646" w14:textId="77777777" w:rsidR="00BA4F13" w:rsidRPr="002314BB" w:rsidRDefault="00BA4F13" w:rsidP="00FB637C">
      <w:pPr>
        <w:pStyle w:val="Bezriadkovania"/>
        <w:jc w:val="both"/>
        <w:rPr>
          <w:rFonts w:cstheme="minorHAnsi"/>
          <w:b/>
        </w:rPr>
      </w:pPr>
    </w:p>
    <w:p w14:paraId="34E92543" w14:textId="77777777" w:rsidR="0020460A" w:rsidRPr="002314BB" w:rsidRDefault="0020460A" w:rsidP="0020460A">
      <w:pPr>
        <w:pStyle w:val="Bezriadkovania"/>
        <w:numPr>
          <w:ilvl w:val="0"/>
          <w:numId w:val="7"/>
        </w:numPr>
        <w:ind w:left="284" w:hanging="284"/>
        <w:jc w:val="both"/>
        <w:rPr>
          <w:rFonts w:cstheme="minorHAnsi"/>
          <w:b/>
          <w:szCs w:val="20"/>
        </w:rPr>
      </w:pPr>
      <w:r w:rsidRPr="002314BB">
        <w:rPr>
          <w:rFonts w:cstheme="minorHAnsi"/>
          <w:b/>
          <w:szCs w:val="20"/>
        </w:rPr>
        <w:t>Občianska vybavenosť - kultúrne zariadenia, parky, verejné priestranstvá, športoviská, centrá integrovanej zdravotnej starostlivosti (ďalej len „CIZS“)</w:t>
      </w:r>
    </w:p>
    <w:p w14:paraId="3329E74E" w14:textId="4AC612D9" w:rsidR="0020460A" w:rsidRPr="002314BB" w:rsidRDefault="0020460A" w:rsidP="00FB637C">
      <w:pPr>
        <w:pStyle w:val="Bezriadkovania"/>
        <w:jc w:val="both"/>
        <w:rPr>
          <w:rFonts w:cstheme="minorHAnsi"/>
          <w:b/>
        </w:rPr>
      </w:pPr>
    </w:p>
    <w:tbl>
      <w:tblPr>
        <w:tblStyle w:val="Mriekatabuky"/>
        <w:tblW w:w="14019" w:type="dxa"/>
        <w:tblLook w:val="04A0" w:firstRow="1" w:lastRow="0" w:firstColumn="1" w:lastColumn="0" w:noHBand="0" w:noVBand="1"/>
      </w:tblPr>
      <w:tblGrid>
        <w:gridCol w:w="3671"/>
        <w:gridCol w:w="1134"/>
        <w:gridCol w:w="9214"/>
      </w:tblGrid>
      <w:tr w:rsidR="0020460A" w:rsidRPr="002314BB" w14:paraId="17474FBA" w14:textId="77777777" w:rsidTr="00AB0038">
        <w:trPr>
          <w:trHeight w:val="298"/>
        </w:trPr>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5D663F28" w14:textId="77777777" w:rsidR="0020460A" w:rsidRPr="002314BB" w:rsidRDefault="0020460A"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3691CFC0" w14:textId="279F9C28" w:rsidR="0020460A" w:rsidRPr="002314BB" w:rsidRDefault="002A492A" w:rsidP="001E78FB">
            <w:pPr>
              <w:jc w:val="center"/>
              <w:rPr>
                <w:rFonts w:eastAsia="Times New Roman" w:cstheme="minorHAnsi"/>
                <w:b/>
                <w:bCs/>
                <w:lang w:eastAsia="sk-SK"/>
              </w:rPr>
            </w:pPr>
            <w:r w:rsidRPr="002314BB">
              <w:rPr>
                <w:rFonts w:eastAsia="Times New Roman" w:cstheme="minorHAnsi"/>
                <w:b/>
                <w:bCs/>
                <w:lang w:eastAsia="sk-SK"/>
              </w:rPr>
              <w:t xml:space="preserve">Merná </w:t>
            </w:r>
            <w:r w:rsidR="0020460A" w:rsidRPr="002314BB">
              <w:rPr>
                <w:rFonts w:eastAsia="Times New Roman" w:cstheme="minorHAnsi"/>
                <w:b/>
                <w:bCs/>
                <w:lang w:eastAsia="sk-SK"/>
              </w:rPr>
              <w:t>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12DBDA03" w14:textId="77777777" w:rsidR="0020460A" w:rsidRPr="002314BB" w:rsidRDefault="0020460A"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20460A" w:rsidRPr="002314BB" w14:paraId="3AB2AE89" w14:textId="77777777" w:rsidTr="00AB0038">
        <w:trPr>
          <w:trHeight w:val="2023"/>
        </w:trPr>
        <w:tc>
          <w:tcPr>
            <w:tcW w:w="3671" w:type="dxa"/>
            <w:tcBorders>
              <w:top w:val="single" w:sz="12" w:space="0" w:color="auto"/>
              <w:left w:val="single" w:sz="12" w:space="0" w:color="auto"/>
              <w:bottom w:val="single" w:sz="4" w:space="0" w:color="auto"/>
            </w:tcBorders>
            <w:vAlign w:val="center"/>
          </w:tcPr>
          <w:p w14:paraId="25CA539C" w14:textId="6946AD91" w:rsidR="0020460A" w:rsidRPr="002314BB" w:rsidRDefault="0020460A" w:rsidP="00526BA4">
            <w:pPr>
              <w:ind w:right="-104"/>
              <w:rPr>
                <w:rFonts w:eastAsia="Times New Roman" w:cstheme="minorHAnsi"/>
                <w:lang w:eastAsia="sk-SK"/>
              </w:rPr>
            </w:pPr>
            <w:r w:rsidRPr="002314BB">
              <w:rPr>
                <w:rFonts w:cstheme="minorHAnsi"/>
                <w:b/>
              </w:rPr>
              <w:t>Podlahová plocha nových / zrekonštruovaných verejných budov</w:t>
            </w:r>
          </w:p>
        </w:tc>
        <w:tc>
          <w:tcPr>
            <w:tcW w:w="1134" w:type="dxa"/>
            <w:tcBorders>
              <w:top w:val="single" w:sz="12" w:space="0" w:color="auto"/>
              <w:bottom w:val="single" w:sz="4" w:space="0" w:color="auto"/>
            </w:tcBorders>
            <w:vAlign w:val="center"/>
          </w:tcPr>
          <w:p w14:paraId="5DF6549F" w14:textId="577D75C1"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m</w:t>
            </w:r>
            <w:r w:rsidRPr="002314BB">
              <w:rPr>
                <w:rFonts w:eastAsia="Times New Roman" w:cstheme="minorHAnsi"/>
                <w:vertAlign w:val="superscript"/>
                <w:lang w:eastAsia="sk-SK"/>
              </w:rPr>
              <w:t>2</w:t>
            </w:r>
          </w:p>
        </w:tc>
        <w:tc>
          <w:tcPr>
            <w:tcW w:w="9214" w:type="dxa"/>
            <w:tcBorders>
              <w:top w:val="single" w:sz="12" w:space="0" w:color="auto"/>
              <w:bottom w:val="single" w:sz="4" w:space="0" w:color="auto"/>
              <w:right w:val="single" w:sz="12" w:space="0" w:color="auto"/>
            </w:tcBorders>
            <w:vAlign w:val="center"/>
          </w:tcPr>
          <w:p w14:paraId="4E194681" w14:textId="3D56EF38" w:rsidR="0020460A" w:rsidRPr="002314BB" w:rsidRDefault="0020460A" w:rsidP="0020460A">
            <w:pPr>
              <w:pStyle w:val="Bezriadkovania"/>
              <w:jc w:val="both"/>
              <w:rPr>
                <w:rFonts w:cstheme="minorHAnsi"/>
                <w:b/>
              </w:rPr>
            </w:pPr>
            <w:r w:rsidRPr="002314BB">
              <w:rPr>
                <w:rFonts w:cstheme="minorHAnsi"/>
              </w:rPr>
              <w:t xml:space="preserve">Napríklad obecné a kultúrne domy, mestské kultúrne strediská, mestské tržnice, CIZS.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20460A" w:rsidRPr="002314BB" w14:paraId="7FEE218E" w14:textId="77777777" w:rsidTr="00AB0038">
        <w:trPr>
          <w:trHeight w:val="2023"/>
        </w:trPr>
        <w:tc>
          <w:tcPr>
            <w:tcW w:w="3671" w:type="dxa"/>
            <w:tcBorders>
              <w:top w:val="single" w:sz="4" w:space="0" w:color="auto"/>
              <w:left w:val="single" w:sz="12" w:space="0" w:color="auto"/>
              <w:bottom w:val="single" w:sz="4" w:space="0" w:color="auto"/>
            </w:tcBorders>
            <w:vAlign w:val="center"/>
          </w:tcPr>
          <w:p w14:paraId="6BB25064" w14:textId="4CE77D7D" w:rsidR="0020460A" w:rsidRPr="002314BB" w:rsidRDefault="0020460A" w:rsidP="00526BA4">
            <w:pPr>
              <w:ind w:right="-104"/>
              <w:rPr>
                <w:rFonts w:eastAsia="Times New Roman" w:cstheme="minorHAnsi"/>
                <w:lang w:eastAsia="sk-SK"/>
              </w:rPr>
            </w:pPr>
            <w:r w:rsidRPr="002314BB">
              <w:rPr>
                <w:rFonts w:cstheme="minorHAnsi"/>
                <w:b/>
              </w:rPr>
              <w:t>Plocha zrekonštruovaných verejných priestranstiev</w:t>
            </w:r>
          </w:p>
        </w:tc>
        <w:tc>
          <w:tcPr>
            <w:tcW w:w="1134" w:type="dxa"/>
            <w:tcBorders>
              <w:top w:val="single" w:sz="4" w:space="0" w:color="auto"/>
              <w:bottom w:val="single" w:sz="4" w:space="0" w:color="auto"/>
            </w:tcBorders>
            <w:vAlign w:val="center"/>
          </w:tcPr>
          <w:p w14:paraId="32C2FBF9" w14:textId="67C5F57C"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m</w:t>
            </w:r>
            <w:r w:rsidRPr="002314BB">
              <w:rPr>
                <w:rFonts w:eastAsia="Times New Roman" w:cstheme="minorHAnsi"/>
                <w:vertAlign w:val="superscript"/>
                <w:lang w:eastAsia="sk-SK"/>
              </w:rPr>
              <w:t>2</w:t>
            </w:r>
          </w:p>
        </w:tc>
        <w:tc>
          <w:tcPr>
            <w:tcW w:w="9214" w:type="dxa"/>
            <w:tcBorders>
              <w:top w:val="single" w:sz="4" w:space="0" w:color="auto"/>
              <w:bottom w:val="single" w:sz="4" w:space="0" w:color="auto"/>
              <w:right w:val="single" w:sz="12" w:space="0" w:color="auto"/>
            </w:tcBorders>
            <w:shd w:val="clear" w:color="auto" w:fill="auto"/>
            <w:vAlign w:val="center"/>
          </w:tcPr>
          <w:p w14:paraId="7D494BCE" w14:textId="3F52A52A" w:rsidR="0020460A" w:rsidRPr="002314BB" w:rsidRDefault="0020460A" w:rsidP="0020460A">
            <w:pPr>
              <w:pStyle w:val="Bezriadkovania"/>
              <w:jc w:val="both"/>
              <w:rPr>
                <w:rFonts w:cstheme="minorHAnsi"/>
                <w:b/>
              </w:rPr>
            </w:pPr>
            <w:r w:rsidRPr="002314BB">
              <w:rPr>
                <w:rFonts w:cstheme="minorHAnsi"/>
              </w:rPr>
              <w:t>Napríklad parky, námestia, športoviská.</w:t>
            </w:r>
            <w:r w:rsidR="001E78FB" w:rsidRPr="002314BB">
              <w:rPr>
                <w:rFonts w:cstheme="minorHAnsi"/>
              </w:rPr>
              <w:t xml:space="preserve">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20460A" w:rsidRPr="002314BB" w14:paraId="208B695D" w14:textId="77777777" w:rsidTr="00AB0038">
        <w:trPr>
          <w:trHeight w:val="2023"/>
        </w:trPr>
        <w:tc>
          <w:tcPr>
            <w:tcW w:w="3671" w:type="dxa"/>
            <w:tcBorders>
              <w:top w:val="single" w:sz="4" w:space="0" w:color="auto"/>
              <w:left w:val="single" w:sz="12" w:space="0" w:color="auto"/>
              <w:bottom w:val="single" w:sz="4" w:space="0" w:color="auto"/>
            </w:tcBorders>
            <w:vAlign w:val="center"/>
          </w:tcPr>
          <w:p w14:paraId="76FA3FEA" w14:textId="0C028037" w:rsidR="0020460A" w:rsidRPr="002314BB" w:rsidRDefault="0020460A" w:rsidP="00526BA4">
            <w:pPr>
              <w:ind w:right="-104"/>
              <w:rPr>
                <w:rFonts w:eastAsia="Times New Roman" w:cstheme="minorHAnsi"/>
                <w:lang w:eastAsia="sk-SK"/>
              </w:rPr>
            </w:pPr>
            <w:r w:rsidRPr="002314BB">
              <w:rPr>
                <w:rFonts w:eastAsia="Times New Roman" w:cstheme="minorHAnsi"/>
                <w:b/>
                <w:lang w:eastAsia="sk-SK"/>
              </w:rPr>
              <w:lastRenderedPageBreak/>
              <w:t xml:space="preserve">Kapacita podporenej infraštruktúry </w:t>
            </w:r>
            <w:r w:rsidRPr="002314BB">
              <w:rPr>
                <w:rFonts w:cstheme="minorHAnsi"/>
                <w:b/>
              </w:rPr>
              <w:t>CIZS</w:t>
            </w:r>
          </w:p>
        </w:tc>
        <w:tc>
          <w:tcPr>
            <w:tcW w:w="1134" w:type="dxa"/>
            <w:tcBorders>
              <w:top w:val="single" w:sz="4" w:space="0" w:color="auto"/>
              <w:bottom w:val="single" w:sz="4" w:space="0" w:color="auto"/>
            </w:tcBorders>
            <w:vAlign w:val="center"/>
          </w:tcPr>
          <w:p w14:paraId="7972F016" w14:textId="56FD878F"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49717467" w14:textId="23DDE4D8" w:rsidR="0020460A" w:rsidRPr="002314BB" w:rsidRDefault="0020460A" w:rsidP="0020460A">
            <w:pPr>
              <w:pStyle w:val="Bezriadkovania"/>
              <w:jc w:val="both"/>
              <w:rPr>
                <w:rFonts w:cstheme="minorHAnsi"/>
                <w:b/>
              </w:rPr>
            </w:pPr>
            <w:r w:rsidRPr="002314BB">
              <w:rPr>
                <w:rFonts w:cstheme="minorHAnsi"/>
              </w:rPr>
              <w:t>Počet užívateľov, ktorí budú používať nové alebo zlepšené vybavenie.</w:t>
            </w:r>
            <w:r w:rsidRPr="002314BB">
              <w:rPr>
                <w:rFonts w:eastAsia="Times New Roman" w:cstheme="minorHAnsi"/>
                <w:sz w:val="20"/>
                <w:szCs w:val="20"/>
                <w:lang w:eastAsia="sk-SK"/>
              </w:rPr>
              <w:t xml:space="preserve"> </w:t>
            </w:r>
            <w:r w:rsidR="001E78FB" w:rsidRPr="002314BB">
              <w:rPr>
                <w:rFonts w:eastAsia="Times New Roman" w:cstheme="minorHAnsi"/>
                <w:lang w:eastAsia="sk-SK"/>
              </w:rPr>
              <w:t>MU sa preukazuje z internej evidencie prijímateľa.</w:t>
            </w:r>
          </w:p>
        </w:tc>
      </w:tr>
      <w:tr w:rsidR="0020460A" w:rsidRPr="002314BB" w14:paraId="633DC357" w14:textId="77777777" w:rsidTr="00AB0038">
        <w:trPr>
          <w:trHeight w:val="1955"/>
        </w:trPr>
        <w:tc>
          <w:tcPr>
            <w:tcW w:w="3671" w:type="dxa"/>
            <w:tcBorders>
              <w:top w:val="single" w:sz="4" w:space="0" w:color="auto"/>
              <w:left w:val="single" w:sz="12" w:space="0" w:color="auto"/>
              <w:bottom w:val="single" w:sz="12" w:space="0" w:color="auto"/>
            </w:tcBorders>
            <w:shd w:val="clear" w:color="auto" w:fill="auto"/>
            <w:vAlign w:val="center"/>
          </w:tcPr>
          <w:p w14:paraId="73DE9848" w14:textId="41A545EF" w:rsidR="0020460A" w:rsidRPr="002314BB" w:rsidRDefault="0020460A" w:rsidP="00AB0038">
            <w:pPr>
              <w:ind w:right="-104"/>
              <w:rPr>
                <w:rFonts w:eastAsia="Times New Roman" w:cstheme="minorHAnsi"/>
                <w:b/>
                <w:bCs/>
                <w:lang w:eastAsia="sk-SK"/>
              </w:rPr>
            </w:pPr>
            <w:r w:rsidRPr="002314BB">
              <w:rPr>
                <w:rFonts w:eastAsia="Times New Roman" w:cstheme="minorHAnsi"/>
                <w:b/>
                <w:lang w:eastAsia="sk-SK"/>
              </w:rPr>
              <w:t>Zníženie ročnej spotreby primárnej energie vo verejných budovách</w:t>
            </w:r>
          </w:p>
        </w:tc>
        <w:tc>
          <w:tcPr>
            <w:tcW w:w="1134" w:type="dxa"/>
            <w:tcBorders>
              <w:top w:val="single" w:sz="4" w:space="0" w:color="auto"/>
              <w:bottom w:val="single" w:sz="12" w:space="0" w:color="auto"/>
            </w:tcBorders>
            <w:shd w:val="clear" w:color="auto" w:fill="auto"/>
            <w:vAlign w:val="center"/>
          </w:tcPr>
          <w:p w14:paraId="3D84EC2E" w14:textId="562346B3"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kWh/rok</w:t>
            </w:r>
          </w:p>
        </w:tc>
        <w:tc>
          <w:tcPr>
            <w:tcW w:w="9214" w:type="dxa"/>
            <w:tcBorders>
              <w:top w:val="single" w:sz="4" w:space="0" w:color="auto"/>
              <w:bottom w:val="single" w:sz="12" w:space="0" w:color="auto"/>
              <w:right w:val="single" w:sz="12" w:space="0" w:color="auto"/>
            </w:tcBorders>
            <w:shd w:val="clear" w:color="auto" w:fill="auto"/>
            <w:vAlign w:val="center"/>
          </w:tcPr>
          <w:p w14:paraId="2F657B73" w14:textId="25D88CA9" w:rsidR="0020460A" w:rsidRPr="002314BB" w:rsidRDefault="0020460A" w:rsidP="0020460A">
            <w:pPr>
              <w:pStyle w:val="Bezriadkovania"/>
              <w:jc w:val="both"/>
              <w:rPr>
                <w:rFonts w:cstheme="minorHAnsi"/>
              </w:rPr>
            </w:pPr>
            <w:r w:rsidRPr="002314BB">
              <w:rPr>
                <w:rFonts w:eastAsia="Times New Roman" w:cstheme="minorHAnsi"/>
                <w:lang w:eastAsia="sk-SK"/>
              </w:rPr>
              <w:t>Hodnota sa vypočíta z energetických certifikátov vyd</w:t>
            </w:r>
            <w:r w:rsidR="00FB5C2D">
              <w:rPr>
                <w:rFonts w:eastAsia="Times New Roman" w:cstheme="minorHAnsi"/>
                <w:lang w:eastAsia="sk-SK"/>
              </w:rPr>
              <w:t xml:space="preserve">aných pred a po rekonštrukcii. </w:t>
            </w:r>
            <w:r w:rsidRPr="002314BB">
              <w:rPr>
                <w:rFonts w:eastAsia="Times New Roman" w:cstheme="minorHAnsi"/>
                <w:lang w:eastAsia="sk-SK"/>
              </w:rPr>
              <w:t>Ukazovateľ ukáže celkový pokles ročnej spotreby do konca daného obdobia, nie celkovú úsporu energie počas daného obdobia</w:t>
            </w:r>
          </w:p>
        </w:tc>
      </w:tr>
    </w:tbl>
    <w:p w14:paraId="06C4D7D3" w14:textId="315FF32A" w:rsidR="007D05BD" w:rsidRPr="002314BB" w:rsidRDefault="007D05BD" w:rsidP="00FB637C">
      <w:pPr>
        <w:pStyle w:val="Bezriadkovania"/>
        <w:jc w:val="both"/>
        <w:rPr>
          <w:rFonts w:cstheme="minorHAnsi"/>
          <w:b/>
        </w:rPr>
      </w:pPr>
    </w:p>
    <w:p w14:paraId="4F1A7A3B" w14:textId="77777777" w:rsidR="00AB0038" w:rsidRPr="002314BB" w:rsidRDefault="00AB0038" w:rsidP="00FB637C">
      <w:pPr>
        <w:pStyle w:val="Bezriadkovania"/>
        <w:jc w:val="both"/>
        <w:rPr>
          <w:rFonts w:cstheme="minorHAnsi"/>
          <w:b/>
        </w:rPr>
      </w:pPr>
    </w:p>
    <w:p w14:paraId="59E652EF" w14:textId="4DA64D81" w:rsidR="0020460A" w:rsidRPr="002314BB" w:rsidRDefault="00BA4F13" w:rsidP="00BA4F13">
      <w:pPr>
        <w:pStyle w:val="Bezriadkovania"/>
        <w:numPr>
          <w:ilvl w:val="0"/>
          <w:numId w:val="7"/>
        </w:numPr>
        <w:ind w:left="284" w:hanging="284"/>
        <w:jc w:val="both"/>
        <w:rPr>
          <w:rFonts w:cstheme="minorHAnsi"/>
          <w:b/>
          <w:szCs w:val="20"/>
        </w:rPr>
      </w:pPr>
      <w:r w:rsidRPr="002314BB">
        <w:rPr>
          <w:rFonts w:cstheme="minorHAnsi"/>
          <w:b/>
          <w:szCs w:val="20"/>
        </w:rPr>
        <w:t xml:space="preserve">Cestovný ruch </w:t>
      </w:r>
    </w:p>
    <w:p w14:paraId="7FF83230" w14:textId="6FAA63F4" w:rsidR="00BA4F13" w:rsidRPr="002314BB" w:rsidRDefault="00BA4F13" w:rsidP="00BA4F13">
      <w:pPr>
        <w:pStyle w:val="Bezriadkovania"/>
        <w:jc w:val="both"/>
        <w:rPr>
          <w:rFonts w:cstheme="minorHAnsi"/>
          <w:b/>
          <w:szCs w:val="20"/>
        </w:rPr>
      </w:pPr>
    </w:p>
    <w:tbl>
      <w:tblPr>
        <w:tblStyle w:val="Mriekatabuky"/>
        <w:tblW w:w="14011" w:type="dxa"/>
        <w:tblLook w:val="04A0" w:firstRow="1" w:lastRow="0" w:firstColumn="1" w:lastColumn="0" w:noHBand="0" w:noVBand="1"/>
      </w:tblPr>
      <w:tblGrid>
        <w:gridCol w:w="3671"/>
        <w:gridCol w:w="1134"/>
        <w:gridCol w:w="9206"/>
      </w:tblGrid>
      <w:tr w:rsidR="00BA4F13" w:rsidRPr="002314BB" w14:paraId="2A02A748"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2C283E52" w14:textId="77777777" w:rsidR="00BA4F13" w:rsidRPr="002314BB" w:rsidRDefault="00BA4F13"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1EEBA00A" w14:textId="77777777" w:rsidR="00BA4F13" w:rsidRPr="002314BB" w:rsidRDefault="00BA4F13"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06" w:type="dxa"/>
            <w:tcBorders>
              <w:top w:val="single" w:sz="12" w:space="0" w:color="auto"/>
              <w:bottom w:val="single" w:sz="12" w:space="0" w:color="auto"/>
              <w:right w:val="single" w:sz="12" w:space="0" w:color="auto"/>
            </w:tcBorders>
            <w:shd w:val="clear" w:color="auto" w:fill="BDD6EE" w:themeFill="accent1" w:themeFillTint="66"/>
            <w:vAlign w:val="center"/>
          </w:tcPr>
          <w:p w14:paraId="506767B7" w14:textId="77777777" w:rsidR="00BA4F13" w:rsidRPr="002314BB" w:rsidRDefault="00BA4F13"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BA4F13" w:rsidRPr="002314BB" w14:paraId="0CEE555A" w14:textId="77777777" w:rsidTr="00AB0038">
        <w:trPr>
          <w:trHeight w:val="2023"/>
        </w:trPr>
        <w:tc>
          <w:tcPr>
            <w:tcW w:w="3671" w:type="dxa"/>
            <w:tcBorders>
              <w:top w:val="single" w:sz="12" w:space="0" w:color="auto"/>
              <w:left w:val="single" w:sz="12" w:space="0" w:color="auto"/>
              <w:bottom w:val="single" w:sz="4" w:space="0" w:color="auto"/>
            </w:tcBorders>
            <w:vAlign w:val="center"/>
          </w:tcPr>
          <w:p w14:paraId="42D839CA" w14:textId="297E863A" w:rsidR="00BA4F13" w:rsidRPr="002314BB" w:rsidRDefault="00BA4F13" w:rsidP="00AB0038">
            <w:pPr>
              <w:ind w:right="-67"/>
              <w:rPr>
                <w:rFonts w:eastAsia="Times New Roman" w:cstheme="minorHAnsi"/>
                <w:lang w:eastAsia="sk-SK"/>
              </w:rPr>
            </w:pPr>
            <w:r w:rsidRPr="002314BB">
              <w:rPr>
                <w:rFonts w:eastAsia="Times New Roman" w:cstheme="minorHAnsi"/>
                <w:b/>
                <w:lang w:eastAsia="sk-SK"/>
              </w:rPr>
              <w:t>Počet nových lôžok v ubytovacích zariadeniach</w:t>
            </w:r>
          </w:p>
        </w:tc>
        <w:tc>
          <w:tcPr>
            <w:tcW w:w="1134" w:type="dxa"/>
            <w:tcBorders>
              <w:top w:val="single" w:sz="12" w:space="0" w:color="auto"/>
              <w:bottom w:val="single" w:sz="4" w:space="0" w:color="auto"/>
            </w:tcBorders>
            <w:vAlign w:val="center"/>
          </w:tcPr>
          <w:p w14:paraId="7C2DE2E8" w14:textId="75F02041" w:rsidR="00BA4F13" w:rsidRPr="002314BB" w:rsidRDefault="00BA4F13" w:rsidP="00BA4F13">
            <w:pPr>
              <w:jc w:val="center"/>
              <w:rPr>
                <w:rFonts w:eastAsia="Times New Roman" w:cstheme="minorHAnsi"/>
                <w:lang w:eastAsia="sk-SK"/>
              </w:rPr>
            </w:pPr>
            <w:r w:rsidRPr="002314BB">
              <w:rPr>
                <w:rFonts w:eastAsia="Times New Roman" w:cstheme="minorHAnsi"/>
                <w:lang w:eastAsia="sk-SK"/>
              </w:rPr>
              <w:t>počet</w:t>
            </w:r>
          </w:p>
        </w:tc>
        <w:tc>
          <w:tcPr>
            <w:tcW w:w="9206" w:type="dxa"/>
            <w:tcBorders>
              <w:top w:val="single" w:sz="12" w:space="0" w:color="auto"/>
              <w:bottom w:val="single" w:sz="4" w:space="0" w:color="auto"/>
              <w:right w:val="single" w:sz="12" w:space="0" w:color="auto"/>
            </w:tcBorders>
            <w:vAlign w:val="center"/>
          </w:tcPr>
          <w:p w14:paraId="0766C709" w14:textId="1AB7E391" w:rsidR="00BA4F13" w:rsidRPr="002314BB" w:rsidRDefault="00BA4F13" w:rsidP="00BA4F13">
            <w:pPr>
              <w:pStyle w:val="Bezriadkovania"/>
              <w:jc w:val="both"/>
              <w:rPr>
                <w:rFonts w:cstheme="minorHAnsi"/>
                <w:b/>
              </w:rPr>
            </w:pPr>
            <w:r w:rsidRPr="002314BB">
              <w:rPr>
                <w:rFonts w:eastAsia="Times New Roman" w:cstheme="minorHAnsi"/>
                <w:lang w:eastAsia="sk-SK"/>
              </w:rPr>
              <w:t xml:space="preserve">Vyjadrí sa nárast kapacity po realizácii projektu. </w:t>
            </w:r>
            <w:r w:rsidR="00A0448A" w:rsidRPr="002314BB">
              <w:rPr>
                <w:rFonts w:eastAsia="Times New Roman" w:cstheme="minorHAnsi"/>
                <w:lang w:eastAsia="sk-SK"/>
              </w:rPr>
              <w:t>MU sa preukazuje z internej evidencie prijímateľa.</w:t>
            </w:r>
          </w:p>
        </w:tc>
      </w:tr>
      <w:tr w:rsidR="00BA4F13" w:rsidRPr="002314BB" w14:paraId="7F7CDED2" w14:textId="77777777" w:rsidTr="00AB0038">
        <w:trPr>
          <w:trHeight w:val="2158"/>
        </w:trPr>
        <w:tc>
          <w:tcPr>
            <w:tcW w:w="3671" w:type="dxa"/>
            <w:tcBorders>
              <w:top w:val="single" w:sz="4" w:space="0" w:color="auto"/>
              <w:left w:val="single" w:sz="12" w:space="0" w:color="auto"/>
              <w:bottom w:val="single" w:sz="12" w:space="0" w:color="auto"/>
            </w:tcBorders>
            <w:vAlign w:val="center"/>
          </w:tcPr>
          <w:p w14:paraId="2E4D1033" w14:textId="6EB18361" w:rsidR="00BA4F13" w:rsidRPr="002314BB" w:rsidRDefault="00BA4F13" w:rsidP="00526BA4">
            <w:pPr>
              <w:ind w:right="-209"/>
              <w:rPr>
                <w:rFonts w:eastAsia="Times New Roman" w:cstheme="minorHAnsi"/>
                <w:lang w:eastAsia="sk-SK"/>
              </w:rPr>
            </w:pPr>
            <w:r w:rsidRPr="002314BB">
              <w:rPr>
                <w:rFonts w:eastAsia="Times New Roman" w:cstheme="minorHAnsi"/>
                <w:b/>
                <w:szCs w:val="20"/>
                <w:lang w:eastAsia="sk-SK"/>
              </w:rPr>
              <w:lastRenderedPageBreak/>
              <w:t>Počet realizovaných informačných aktivít</w:t>
            </w:r>
          </w:p>
        </w:tc>
        <w:tc>
          <w:tcPr>
            <w:tcW w:w="1134" w:type="dxa"/>
            <w:tcBorders>
              <w:top w:val="single" w:sz="4" w:space="0" w:color="auto"/>
              <w:bottom w:val="single" w:sz="12" w:space="0" w:color="auto"/>
            </w:tcBorders>
            <w:vAlign w:val="center"/>
          </w:tcPr>
          <w:p w14:paraId="5D733856" w14:textId="2B0A010C" w:rsidR="00BA4F13" w:rsidRPr="002314BB" w:rsidRDefault="00BA4F13" w:rsidP="00BA4F13">
            <w:pPr>
              <w:jc w:val="center"/>
              <w:rPr>
                <w:rFonts w:eastAsia="Times New Roman" w:cstheme="minorHAnsi"/>
                <w:lang w:eastAsia="sk-SK"/>
              </w:rPr>
            </w:pPr>
            <w:r w:rsidRPr="002314BB">
              <w:rPr>
                <w:rFonts w:eastAsia="Times New Roman" w:cstheme="minorHAnsi"/>
                <w:lang w:eastAsia="sk-SK"/>
              </w:rPr>
              <w:t>počet</w:t>
            </w:r>
          </w:p>
        </w:tc>
        <w:tc>
          <w:tcPr>
            <w:tcW w:w="9206" w:type="dxa"/>
            <w:tcBorders>
              <w:top w:val="single" w:sz="4" w:space="0" w:color="auto"/>
              <w:bottom w:val="single" w:sz="12" w:space="0" w:color="auto"/>
              <w:right w:val="single" w:sz="12" w:space="0" w:color="auto"/>
            </w:tcBorders>
            <w:vAlign w:val="center"/>
          </w:tcPr>
          <w:p w14:paraId="284523D8" w14:textId="7215CB89" w:rsidR="00BA4F13" w:rsidRPr="002314BB" w:rsidRDefault="00BA4F13" w:rsidP="00BA4F13">
            <w:pPr>
              <w:pStyle w:val="Bezriadkovania"/>
              <w:jc w:val="both"/>
              <w:rPr>
                <w:rFonts w:cstheme="minorHAnsi"/>
                <w:b/>
              </w:rPr>
            </w:pPr>
            <w:r w:rsidRPr="002314BB">
              <w:rPr>
                <w:rFonts w:eastAsia="Times New Roman" w:cstheme="minorHAnsi"/>
                <w:lang w:eastAsia="sk-SK"/>
              </w:rPr>
              <w:t>Celkový počet informačných aktivít v rámci realizácie projektu. Informačnou aktivitou sa rozumie najmä: konferencia, infodeň, veľtrh, výstava, TV/rozhlasový spot, inzercia na internete, inzercia v tlači, publikácia, webstránka, prieskum verejnej mienky a iné aktivity zamerané na informovanie cieľových skupín.</w:t>
            </w:r>
            <w:r w:rsidR="00A0448A" w:rsidRPr="002314BB">
              <w:rPr>
                <w:rFonts w:eastAsia="Times New Roman" w:cstheme="minorHAnsi"/>
                <w:lang w:eastAsia="sk-SK"/>
              </w:rPr>
              <w:t xml:space="preserve"> MU sa preukazuje z internej evidencie prijímateľa (napr. prezenčné listiny, fotodokumentácia, pozvánky, plagáty a pod.).</w:t>
            </w:r>
            <w:r w:rsidR="00604F9B" w:rsidRPr="002314BB">
              <w:rPr>
                <w:rFonts w:eastAsia="Times New Roman" w:cstheme="minorHAnsi"/>
                <w:lang w:eastAsia="sk-SK"/>
              </w:rPr>
              <w:t xml:space="preserve"> Medzi počet zrealizovaných aktivít sa nezapočítava povinná publicita projektu.</w:t>
            </w:r>
          </w:p>
        </w:tc>
      </w:tr>
    </w:tbl>
    <w:p w14:paraId="76C9860B" w14:textId="6075D80F" w:rsidR="00BA4F13" w:rsidRPr="002314BB" w:rsidRDefault="00BA4F13" w:rsidP="00BA4F13">
      <w:pPr>
        <w:pStyle w:val="Bezriadkovania"/>
        <w:jc w:val="both"/>
        <w:rPr>
          <w:rFonts w:cstheme="minorHAnsi"/>
          <w:b/>
          <w:szCs w:val="20"/>
        </w:rPr>
      </w:pPr>
    </w:p>
    <w:p w14:paraId="23EE914A" w14:textId="1248958F" w:rsidR="00A0448A" w:rsidRPr="002314BB" w:rsidRDefault="00A0448A" w:rsidP="00BA4F13">
      <w:pPr>
        <w:pStyle w:val="Bezriadkovania"/>
        <w:jc w:val="both"/>
        <w:rPr>
          <w:rFonts w:cstheme="minorHAnsi"/>
          <w:b/>
          <w:szCs w:val="20"/>
        </w:rPr>
      </w:pPr>
    </w:p>
    <w:p w14:paraId="059E41FB" w14:textId="2355E20C" w:rsidR="00A0448A" w:rsidRPr="002314BB" w:rsidRDefault="00A0448A" w:rsidP="00BA4F13">
      <w:pPr>
        <w:pStyle w:val="Bezriadkovania"/>
        <w:jc w:val="both"/>
        <w:rPr>
          <w:rFonts w:cstheme="minorHAnsi"/>
          <w:b/>
          <w:szCs w:val="20"/>
        </w:rPr>
      </w:pPr>
    </w:p>
    <w:p w14:paraId="30CDB21D" w14:textId="5E36CE83" w:rsidR="00A0448A" w:rsidRPr="002314BB" w:rsidRDefault="00A0448A" w:rsidP="00BA4F13">
      <w:pPr>
        <w:pStyle w:val="Bezriadkovania"/>
        <w:jc w:val="both"/>
        <w:rPr>
          <w:rFonts w:cstheme="minorHAnsi"/>
          <w:b/>
          <w:szCs w:val="20"/>
        </w:rPr>
      </w:pPr>
    </w:p>
    <w:p w14:paraId="067AA826" w14:textId="16A0B0B7" w:rsidR="00F47901" w:rsidRPr="002314BB" w:rsidRDefault="00F47901" w:rsidP="004A1CCB">
      <w:pPr>
        <w:rPr>
          <w:rFonts w:cstheme="minorHAnsi"/>
          <w:b/>
          <w:szCs w:val="20"/>
        </w:rPr>
      </w:pPr>
    </w:p>
    <w:sectPr w:rsidR="00F47901" w:rsidRPr="002314BB" w:rsidSect="00A96D6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F5CE" w14:textId="77777777" w:rsidR="00F424AB" w:rsidRDefault="00F424AB" w:rsidP="00F47901">
      <w:pPr>
        <w:spacing w:after="0" w:line="240" w:lineRule="auto"/>
      </w:pPr>
      <w:r>
        <w:separator/>
      </w:r>
    </w:p>
  </w:endnote>
  <w:endnote w:type="continuationSeparator" w:id="0">
    <w:p w14:paraId="3C74B775" w14:textId="77777777" w:rsidR="00F424AB" w:rsidRDefault="00F424AB" w:rsidP="00F4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314677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12495CF" w14:textId="2226B52B" w:rsidR="00080199" w:rsidRPr="00080199" w:rsidRDefault="00080199">
            <w:pPr>
              <w:pStyle w:val="Pta"/>
              <w:jc w:val="right"/>
              <w:rPr>
                <w:rFonts w:ascii="Times New Roman" w:hAnsi="Times New Roman" w:cs="Times New Roman"/>
              </w:rPr>
            </w:pPr>
            <w:r w:rsidRPr="00080199">
              <w:rPr>
                <w:rFonts w:ascii="Times New Roman" w:hAnsi="Times New Roman" w:cs="Times New Roman"/>
              </w:rPr>
              <w:t xml:space="preserve">Strana </w:t>
            </w:r>
            <w:r w:rsidRPr="00080199">
              <w:rPr>
                <w:rFonts w:ascii="Times New Roman" w:hAnsi="Times New Roman" w:cs="Times New Roman"/>
                <w:b/>
                <w:bCs/>
                <w:sz w:val="24"/>
                <w:szCs w:val="24"/>
              </w:rPr>
              <w:fldChar w:fldCharType="begin"/>
            </w:r>
            <w:r w:rsidRPr="00080199">
              <w:rPr>
                <w:rFonts w:ascii="Times New Roman" w:hAnsi="Times New Roman" w:cs="Times New Roman"/>
                <w:b/>
                <w:bCs/>
              </w:rPr>
              <w:instrText>PAGE</w:instrText>
            </w:r>
            <w:r w:rsidRPr="00080199">
              <w:rPr>
                <w:rFonts w:ascii="Times New Roman" w:hAnsi="Times New Roman" w:cs="Times New Roman"/>
                <w:b/>
                <w:bCs/>
                <w:sz w:val="24"/>
                <w:szCs w:val="24"/>
              </w:rPr>
              <w:fldChar w:fldCharType="separate"/>
            </w:r>
            <w:r w:rsidR="005B609D">
              <w:rPr>
                <w:rFonts w:ascii="Times New Roman" w:hAnsi="Times New Roman" w:cs="Times New Roman"/>
                <w:b/>
                <w:bCs/>
                <w:noProof/>
              </w:rPr>
              <w:t>1</w:t>
            </w:r>
            <w:r w:rsidRPr="00080199">
              <w:rPr>
                <w:rFonts w:ascii="Times New Roman" w:hAnsi="Times New Roman" w:cs="Times New Roman"/>
                <w:b/>
                <w:bCs/>
                <w:sz w:val="24"/>
                <w:szCs w:val="24"/>
              </w:rPr>
              <w:fldChar w:fldCharType="end"/>
            </w:r>
            <w:r w:rsidRPr="00080199">
              <w:rPr>
                <w:rFonts w:ascii="Times New Roman" w:hAnsi="Times New Roman" w:cs="Times New Roman"/>
              </w:rPr>
              <w:t xml:space="preserve"> z </w:t>
            </w:r>
            <w:r w:rsidRPr="00080199">
              <w:rPr>
                <w:rFonts w:ascii="Times New Roman" w:hAnsi="Times New Roman" w:cs="Times New Roman"/>
                <w:b/>
                <w:bCs/>
                <w:sz w:val="24"/>
                <w:szCs w:val="24"/>
              </w:rPr>
              <w:fldChar w:fldCharType="begin"/>
            </w:r>
            <w:r w:rsidRPr="00080199">
              <w:rPr>
                <w:rFonts w:ascii="Times New Roman" w:hAnsi="Times New Roman" w:cs="Times New Roman"/>
                <w:b/>
                <w:bCs/>
              </w:rPr>
              <w:instrText>NUMPAGES</w:instrText>
            </w:r>
            <w:r w:rsidRPr="00080199">
              <w:rPr>
                <w:rFonts w:ascii="Times New Roman" w:hAnsi="Times New Roman" w:cs="Times New Roman"/>
                <w:b/>
                <w:bCs/>
                <w:sz w:val="24"/>
                <w:szCs w:val="24"/>
              </w:rPr>
              <w:fldChar w:fldCharType="separate"/>
            </w:r>
            <w:r w:rsidR="005B609D">
              <w:rPr>
                <w:rFonts w:ascii="Times New Roman" w:hAnsi="Times New Roman" w:cs="Times New Roman"/>
                <w:b/>
                <w:bCs/>
                <w:noProof/>
              </w:rPr>
              <w:t>16</w:t>
            </w:r>
            <w:r w:rsidRPr="00080199">
              <w:rPr>
                <w:rFonts w:ascii="Times New Roman" w:hAnsi="Times New Roman" w:cs="Times New Roman"/>
                <w:b/>
                <w:bCs/>
                <w:sz w:val="24"/>
                <w:szCs w:val="24"/>
              </w:rPr>
              <w:fldChar w:fldCharType="end"/>
            </w:r>
          </w:p>
        </w:sdtContent>
      </w:sdt>
    </w:sdtContent>
  </w:sdt>
  <w:p w14:paraId="65A6D80F" w14:textId="77777777" w:rsidR="00080199" w:rsidRDefault="000801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21E9" w14:textId="77777777" w:rsidR="00F424AB" w:rsidRDefault="00F424AB" w:rsidP="00F47901">
      <w:pPr>
        <w:spacing w:after="0" w:line="240" w:lineRule="auto"/>
      </w:pPr>
      <w:r>
        <w:separator/>
      </w:r>
    </w:p>
  </w:footnote>
  <w:footnote w:type="continuationSeparator" w:id="0">
    <w:p w14:paraId="19A9904E" w14:textId="77777777" w:rsidR="00F424AB" w:rsidRDefault="00F424AB" w:rsidP="00F47901">
      <w:pPr>
        <w:spacing w:after="0" w:line="240" w:lineRule="auto"/>
      </w:pPr>
      <w:r>
        <w:continuationSeparator/>
      </w:r>
    </w:p>
  </w:footnote>
  <w:footnote w:id="1">
    <w:p w14:paraId="7A14CC00" w14:textId="7C367223" w:rsidR="00145BAC" w:rsidRPr="009E50ED" w:rsidRDefault="00145BAC" w:rsidP="009E50ED">
      <w:pPr>
        <w:pStyle w:val="Textpoznmkypodiarou"/>
        <w:rPr>
          <w:rFonts w:asciiTheme="minorHAnsi" w:hAnsiTheme="minorHAnsi" w:cstheme="minorHAnsi"/>
          <w:sz w:val="20"/>
        </w:rPr>
      </w:pPr>
      <w:r w:rsidRPr="009E50ED">
        <w:rPr>
          <w:vertAlign w:val="superscript"/>
        </w:rPr>
        <w:footnoteRef/>
      </w:r>
      <w:r w:rsidR="009E50ED" w:rsidRPr="009E50ED">
        <w:rPr>
          <w:rFonts w:asciiTheme="minorHAnsi" w:hAnsiTheme="minorHAnsi" w:cstheme="minorHAnsi"/>
          <w:sz w:val="20"/>
        </w:rPr>
        <w:t>)</w:t>
      </w:r>
      <w:r w:rsidRPr="00A8473D">
        <w:rPr>
          <w:rFonts w:asciiTheme="minorHAnsi" w:hAnsiTheme="minorHAnsi" w:cstheme="minorHAnsi"/>
          <w:sz w:val="20"/>
        </w:rPr>
        <w:t xml:space="preserve"> </w:t>
      </w:r>
      <w:r w:rsidRPr="009E50ED">
        <w:t>Zákon č. 5/2004 Z. z. Zákon o službách zamestnanosti a o zmene a doplnení niektorých zákonov</w:t>
      </w:r>
    </w:p>
  </w:footnote>
  <w:footnote w:id="2">
    <w:p w14:paraId="404D0B6F" w14:textId="7565EB45" w:rsidR="00145BAC" w:rsidRPr="009E50ED" w:rsidRDefault="00145BAC" w:rsidP="009E50ED">
      <w:pPr>
        <w:pStyle w:val="Textpoznmkypodiarou"/>
        <w:rPr>
          <w:rFonts w:asciiTheme="minorHAnsi" w:hAnsiTheme="minorHAnsi" w:cstheme="minorHAnsi"/>
          <w:sz w:val="20"/>
        </w:rPr>
      </w:pPr>
      <w:r w:rsidRPr="009E50ED">
        <w:rPr>
          <w:vertAlign w:val="superscript"/>
        </w:rPr>
        <w:footnoteRef/>
      </w:r>
      <w:r w:rsidR="009E50ED" w:rsidRPr="009E50ED">
        <w:rPr>
          <w:rFonts w:asciiTheme="minorHAnsi" w:hAnsiTheme="minorHAnsi" w:cstheme="minorHAnsi"/>
          <w:sz w:val="20"/>
        </w:rPr>
        <w:t>)</w:t>
      </w:r>
      <w:r w:rsidRPr="00A8473D">
        <w:rPr>
          <w:rFonts w:asciiTheme="minorHAnsi" w:hAnsiTheme="minorHAnsi" w:cstheme="minorHAnsi"/>
          <w:sz w:val="20"/>
        </w:rPr>
        <w:t xml:space="preserve"> </w:t>
      </w:r>
      <w:r w:rsidRPr="009E50ED">
        <w:t>Zákon č. 5/2004 Z. z. Zákon o službách zamestnanosti a o zmene a doplnení niektorých zákonov</w:t>
      </w:r>
    </w:p>
  </w:footnote>
  <w:footnote w:id="3">
    <w:p w14:paraId="467D6B4B" w14:textId="0DFC689F" w:rsidR="00F0334F" w:rsidRPr="00D2389B" w:rsidRDefault="00F0334F">
      <w:pPr>
        <w:pStyle w:val="Textpoznmkypodiarou"/>
        <w:rPr>
          <w:rFonts w:asciiTheme="minorHAnsi" w:hAnsiTheme="minorHAnsi" w:cstheme="minorHAnsi"/>
          <w:sz w:val="20"/>
        </w:rPr>
      </w:pPr>
      <w:r w:rsidRPr="00D2389B">
        <w:rPr>
          <w:rStyle w:val="Odkaznapoznmkupodiarou"/>
          <w:rFonts w:asciiTheme="minorHAnsi" w:hAnsiTheme="minorHAnsi" w:cstheme="minorHAnsi"/>
          <w:sz w:val="20"/>
        </w:rPr>
        <w:footnoteRef/>
      </w:r>
      <w:r w:rsidR="009E50ED">
        <w:rPr>
          <w:rFonts w:asciiTheme="minorHAnsi" w:hAnsiTheme="minorHAnsi" w:cstheme="minorHAnsi"/>
          <w:sz w:val="20"/>
        </w:rPr>
        <w:t>)</w:t>
      </w:r>
      <w:r w:rsidRPr="00D2389B">
        <w:rPr>
          <w:rFonts w:asciiTheme="minorHAnsi" w:hAnsiTheme="minorHAnsi" w:cstheme="minorHAnsi"/>
          <w:sz w:val="20"/>
        </w:rPr>
        <w:t xml:space="preserve"> Materské školy („MŠ“), základné školy („ZŠ“), stredné školy („SŠ“), regionálne vzdelávacie centrá („RVC“)</w:t>
      </w:r>
    </w:p>
  </w:footnote>
  <w:footnote w:id="4">
    <w:p w14:paraId="495E1C7D" w14:textId="202F6D69" w:rsidR="00F0334F" w:rsidRPr="00D2389B" w:rsidRDefault="00F0334F">
      <w:pPr>
        <w:pStyle w:val="Textpoznmkypodiarou"/>
        <w:rPr>
          <w:rFonts w:asciiTheme="minorHAnsi" w:hAnsiTheme="minorHAnsi" w:cstheme="minorHAnsi"/>
          <w:sz w:val="20"/>
        </w:rPr>
      </w:pPr>
      <w:r w:rsidRPr="00D2389B">
        <w:rPr>
          <w:rStyle w:val="Odkaznapoznmkupodiarou"/>
          <w:rFonts w:asciiTheme="minorHAnsi" w:hAnsiTheme="minorHAnsi" w:cstheme="minorHAnsi"/>
          <w:sz w:val="20"/>
        </w:rPr>
        <w:footnoteRef/>
      </w:r>
      <w:r w:rsidR="009E50ED">
        <w:rPr>
          <w:rFonts w:asciiTheme="minorHAnsi" w:hAnsiTheme="minorHAnsi" w:cstheme="minorHAnsi"/>
          <w:sz w:val="20"/>
        </w:rPr>
        <w:t>)</w:t>
      </w:r>
      <w:r w:rsidRPr="00D2389B">
        <w:rPr>
          <w:rFonts w:asciiTheme="minorHAnsi" w:hAnsiTheme="minorHAnsi" w:cstheme="minorHAnsi"/>
          <w:sz w:val="20"/>
        </w:rPr>
        <w:t xml:space="preserve"> Domovy sociálnych služieb</w:t>
      </w:r>
    </w:p>
  </w:footnote>
  <w:footnote w:id="5">
    <w:p w14:paraId="79B327F2" w14:textId="0BF8B6C1" w:rsidR="00F0334F" w:rsidRPr="00D2389B" w:rsidRDefault="00F0334F">
      <w:pPr>
        <w:pStyle w:val="Textpoznmkypodiarou"/>
        <w:rPr>
          <w:rFonts w:asciiTheme="minorHAnsi" w:hAnsiTheme="minorHAnsi" w:cstheme="minorHAnsi"/>
          <w:sz w:val="20"/>
        </w:rPr>
      </w:pPr>
      <w:r w:rsidRPr="00D2389B">
        <w:rPr>
          <w:rStyle w:val="Odkaznapoznmkupodiarou"/>
          <w:rFonts w:asciiTheme="minorHAnsi" w:hAnsiTheme="minorHAnsi" w:cstheme="minorHAnsi"/>
          <w:sz w:val="20"/>
        </w:rPr>
        <w:footnoteRef/>
      </w:r>
      <w:r w:rsidR="009E50ED">
        <w:rPr>
          <w:rFonts w:asciiTheme="minorHAnsi" w:hAnsiTheme="minorHAnsi" w:cstheme="minorHAnsi"/>
          <w:sz w:val="20"/>
        </w:rPr>
        <w:t>)</w:t>
      </w:r>
      <w:r w:rsidRPr="00D2389B">
        <w:rPr>
          <w:rFonts w:asciiTheme="minorHAnsi" w:hAnsiTheme="minorHAnsi" w:cstheme="minorHAnsi"/>
          <w:sz w:val="20"/>
        </w:rPr>
        <w:t xml:space="preserve"> Marginalizované rómske komunity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9CD"/>
    <w:multiLevelType w:val="hybridMultilevel"/>
    <w:tmpl w:val="C758160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EA8388D"/>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DA7CD5"/>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2B630D"/>
    <w:multiLevelType w:val="hybridMultilevel"/>
    <w:tmpl w:val="0A14F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0C0E05"/>
    <w:multiLevelType w:val="hybridMultilevel"/>
    <w:tmpl w:val="1E481EF4"/>
    <w:lvl w:ilvl="0" w:tplc="041B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78E704C"/>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7A711E"/>
    <w:multiLevelType w:val="hybridMultilevel"/>
    <w:tmpl w:val="AE42BA6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BD3B1C"/>
    <w:multiLevelType w:val="hybridMultilevel"/>
    <w:tmpl w:val="A9BE783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1D7652"/>
    <w:multiLevelType w:val="hybridMultilevel"/>
    <w:tmpl w:val="B290BFDE"/>
    <w:lvl w:ilvl="0" w:tplc="D5D87A9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9C64F6"/>
    <w:multiLevelType w:val="hybridMultilevel"/>
    <w:tmpl w:val="27CAF828"/>
    <w:lvl w:ilvl="0" w:tplc="A1B4177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B9B0300"/>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B913BE"/>
    <w:multiLevelType w:val="hybridMultilevel"/>
    <w:tmpl w:val="5CB87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E76013B"/>
    <w:multiLevelType w:val="hybridMultilevel"/>
    <w:tmpl w:val="A9E08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89007BF"/>
    <w:multiLevelType w:val="hybridMultilevel"/>
    <w:tmpl w:val="A9E08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A6A13F7"/>
    <w:multiLevelType w:val="hybridMultilevel"/>
    <w:tmpl w:val="3710E3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2"/>
  </w:num>
  <w:num w:numId="7">
    <w:abstractNumId w:val="8"/>
  </w:num>
  <w:num w:numId="8">
    <w:abstractNumId w:val="4"/>
  </w:num>
  <w:num w:numId="9">
    <w:abstractNumId w:val="11"/>
  </w:num>
  <w:num w:numId="10">
    <w:abstractNumId w:val="5"/>
  </w:num>
  <w:num w:numId="11">
    <w:abstractNumId w:val="10"/>
  </w:num>
  <w:num w:numId="12">
    <w:abstractNumId w:val="7"/>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14"/>
    <w:rsid w:val="0001047C"/>
    <w:rsid w:val="00017B25"/>
    <w:rsid w:val="00061E57"/>
    <w:rsid w:val="00062FC4"/>
    <w:rsid w:val="00070672"/>
    <w:rsid w:val="00073AF0"/>
    <w:rsid w:val="00080199"/>
    <w:rsid w:val="00083E3D"/>
    <w:rsid w:val="000B6603"/>
    <w:rsid w:val="000E734F"/>
    <w:rsid w:val="00106D1D"/>
    <w:rsid w:val="001117EA"/>
    <w:rsid w:val="00112A2F"/>
    <w:rsid w:val="00123C64"/>
    <w:rsid w:val="0013357C"/>
    <w:rsid w:val="0013752A"/>
    <w:rsid w:val="001448B5"/>
    <w:rsid w:val="0014494C"/>
    <w:rsid w:val="00145BAC"/>
    <w:rsid w:val="001D5C0B"/>
    <w:rsid w:val="001D75EB"/>
    <w:rsid w:val="001E78FB"/>
    <w:rsid w:val="0020460A"/>
    <w:rsid w:val="002272D2"/>
    <w:rsid w:val="00230228"/>
    <w:rsid w:val="002314BB"/>
    <w:rsid w:val="002419C3"/>
    <w:rsid w:val="0024456B"/>
    <w:rsid w:val="00255BE6"/>
    <w:rsid w:val="00285A83"/>
    <w:rsid w:val="00295280"/>
    <w:rsid w:val="002A492A"/>
    <w:rsid w:val="002A7114"/>
    <w:rsid w:val="002B1995"/>
    <w:rsid w:val="002F2CB7"/>
    <w:rsid w:val="002F497A"/>
    <w:rsid w:val="003028A1"/>
    <w:rsid w:val="0033119A"/>
    <w:rsid w:val="00337976"/>
    <w:rsid w:val="00355DAD"/>
    <w:rsid w:val="003660CB"/>
    <w:rsid w:val="00371FFA"/>
    <w:rsid w:val="00372763"/>
    <w:rsid w:val="00381B66"/>
    <w:rsid w:val="00391B51"/>
    <w:rsid w:val="00421591"/>
    <w:rsid w:val="00435476"/>
    <w:rsid w:val="004449E5"/>
    <w:rsid w:val="00471346"/>
    <w:rsid w:val="00472962"/>
    <w:rsid w:val="004A1CCB"/>
    <w:rsid w:val="00526BA4"/>
    <w:rsid w:val="005303AE"/>
    <w:rsid w:val="00540F89"/>
    <w:rsid w:val="00596C26"/>
    <w:rsid w:val="005A30D0"/>
    <w:rsid w:val="005B3A0F"/>
    <w:rsid w:val="005B56CD"/>
    <w:rsid w:val="005B609D"/>
    <w:rsid w:val="00604F9B"/>
    <w:rsid w:val="00616EB4"/>
    <w:rsid w:val="0064281E"/>
    <w:rsid w:val="0067101C"/>
    <w:rsid w:val="006A33D8"/>
    <w:rsid w:val="006B33BC"/>
    <w:rsid w:val="00750083"/>
    <w:rsid w:val="00766012"/>
    <w:rsid w:val="00773E65"/>
    <w:rsid w:val="00777AAF"/>
    <w:rsid w:val="00785044"/>
    <w:rsid w:val="007A0607"/>
    <w:rsid w:val="007D05BD"/>
    <w:rsid w:val="007D23EB"/>
    <w:rsid w:val="007D5E55"/>
    <w:rsid w:val="007F3214"/>
    <w:rsid w:val="00801A78"/>
    <w:rsid w:val="008035C8"/>
    <w:rsid w:val="008211E7"/>
    <w:rsid w:val="00825E45"/>
    <w:rsid w:val="00840FA1"/>
    <w:rsid w:val="00877C53"/>
    <w:rsid w:val="00894F00"/>
    <w:rsid w:val="008B556F"/>
    <w:rsid w:val="008B7F63"/>
    <w:rsid w:val="008C098C"/>
    <w:rsid w:val="008C6AE7"/>
    <w:rsid w:val="008D3755"/>
    <w:rsid w:val="008F1DE5"/>
    <w:rsid w:val="00905EB5"/>
    <w:rsid w:val="00910630"/>
    <w:rsid w:val="00937281"/>
    <w:rsid w:val="00937B01"/>
    <w:rsid w:val="00975F5B"/>
    <w:rsid w:val="00980291"/>
    <w:rsid w:val="009A4F3E"/>
    <w:rsid w:val="009B26DC"/>
    <w:rsid w:val="009E3FCA"/>
    <w:rsid w:val="009E50ED"/>
    <w:rsid w:val="00A00DE5"/>
    <w:rsid w:val="00A020C2"/>
    <w:rsid w:val="00A0359E"/>
    <w:rsid w:val="00A0448A"/>
    <w:rsid w:val="00A446BA"/>
    <w:rsid w:val="00A7599C"/>
    <w:rsid w:val="00A8473D"/>
    <w:rsid w:val="00A874E0"/>
    <w:rsid w:val="00A96D66"/>
    <w:rsid w:val="00AB0038"/>
    <w:rsid w:val="00AB352A"/>
    <w:rsid w:val="00B072D1"/>
    <w:rsid w:val="00B10E50"/>
    <w:rsid w:val="00B12419"/>
    <w:rsid w:val="00B42359"/>
    <w:rsid w:val="00B45FB0"/>
    <w:rsid w:val="00B55E3A"/>
    <w:rsid w:val="00B93BF7"/>
    <w:rsid w:val="00B9547C"/>
    <w:rsid w:val="00BA4F13"/>
    <w:rsid w:val="00BA780C"/>
    <w:rsid w:val="00BD7F0B"/>
    <w:rsid w:val="00BF44A5"/>
    <w:rsid w:val="00C15565"/>
    <w:rsid w:val="00C35096"/>
    <w:rsid w:val="00C4401C"/>
    <w:rsid w:val="00C61F5A"/>
    <w:rsid w:val="00C77733"/>
    <w:rsid w:val="00C85C7A"/>
    <w:rsid w:val="00CA50C9"/>
    <w:rsid w:val="00CF1844"/>
    <w:rsid w:val="00D01F65"/>
    <w:rsid w:val="00D2217A"/>
    <w:rsid w:val="00D2389B"/>
    <w:rsid w:val="00D6332A"/>
    <w:rsid w:val="00D7506A"/>
    <w:rsid w:val="00D765C4"/>
    <w:rsid w:val="00DC2F8B"/>
    <w:rsid w:val="00DD756E"/>
    <w:rsid w:val="00DE05B1"/>
    <w:rsid w:val="00DF7D3E"/>
    <w:rsid w:val="00E13F67"/>
    <w:rsid w:val="00E50EA2"/>
    <w:rsid w:val="00E63730"/>
    <w:rsid w:val="00E667A6"/>
    <w:rsid w:val="00EA5E27"/>
    <w:rsid w:val="00ED7A1F"/>
    <w:rsid w:val="00EF35FE"/>
    <w:rsid w:val="00F0334F"/>
    <w:rsid w:val="00F071B6"/>
    <w:rsid w:val="00F424AB"/>
    <w:rsid w:val="00F47901"/>
    <w:rsid w:val="00F5331D"/>
    <w:rsid w:val="00F67C8F"/>
    <w:rsid w:val="00FB5C2D"/>
    <w:rsid w:val="00FB637C"/>
    <w:rsid w:val="00FC48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AB4F"/>
  <w15:chartTrackingRefBased/>
  <w15:docId w15:val="{3DD942CE-D0AF-4772-8018-2789C13D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5E55"/>
  </w:style>
  <w:style w:type="paragraph" w:styleId="Nadpis1">
    <w:name w:val="heading 1"/>
    <w:basedOn w:val="Normlny"/>
    <w:link w:val="Nadpis1Char"/>
    <w:uiPriority w:val="9"/>
    <w:qFormat/>
    <w:rsid w:val="00145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F3214"/>
    <w:pPr>
      <w:spacing w:after="0" w:line="240" w:lineRule="auto"/>
    </w:pPr>
  </w:style>
  <w:style w:type="character" w:styleId="Odkaznakomentr">
    <w:name w:val="annotation reference"/>
    <w:basedOn w:val="Predvolenpsmoodseku"/>
    <w:uiPriority w:val="99"/>
    <w:semiHidden/>
    <w:unhideWhenUsed/>
    <w:rsid w:val="00061E57"/>
    <w:rPr>
      <w:sz w:val="16"/>
      <w:szCs w:val="16"/>
    </w:rPr>
  </w:style>
  <w:style w:type="paragraph" w:styleId="Textkomentra">
    <w:name w:val="annotation text"/>
    <w:basedOn w:val="Normlny"/>
    <w:link w:val="TextkomentraChar"/>
    <w:uiPriority w:val="99"/>
    <w:semiHidden/>
    <w:unhideWhenUsed/>
    <w:rsid w:val="00061E57"/>
    <w:pPr>
      <w:spacing w:line="240" w:lineRule="auto"/>
    </w:pPr>
    <w:rPr>
      <w:sz w:val="20"/>
      <w:szCs w:val="20"/>
    </w:rPr>
  </w:style>
  <w:style w:type="character" w:customStyle="1" w:styleId="TextkomentraChar">
    <w:name w:val="Text komentára Char"/>
    <w:basedOn w:val="Predvolenpsmoodseku"/>
    <w:link w:val="Textkomentra"/>
    <w:uiPriority w:val="99"/>
    <w:semiHidden/>
    <w:rsid w:val="00061E57"/>
    <w:rPr>
      <w:sz w:val="20"/>
      <w:szCs w:val="20"/>
    </w:rPr>
  </w:style>
  <w:style w:type="paragraph" w:styleId="Textbubliny">
    <w:name w:val="Balloon Text"/>
    <w:basedOn w:val="Normlny"/>
    <w:link w:val="TextbublinyChar"/>
    <w:uiPriority w:val="99"/>
    <w:semiHidden/>
    <w:unhideWhenUsed/>
    <w:rsid w:val="00061E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1E57"/>
    <w:rPr>
      <w:rFonts w:ascii="Segoe UI" w:hAnsi="Segoe UI" w:cs="Segoe UI"/>
      <w:sz w:val="18"/>
      <w:szCs w:val="18"/>
    </w:rPr>
  </w:style>
  <w:style w:type="paragraph" w:styleId="Odsekzoznamu">
    <w:name w:val="List Paragraph"/>
    <w:basedOn w:val="Normlny"/>
    <w:uiPriority w:val="34"/>
    <w:qFormat/>
    <w:rsid w:val="00061E57"/>
    <w:pPr>
      <w:ind w:left="720"/>
      <w:contextualSpacing/>
    </w:pPr>
  </w:style>
  <w:style w:type="table" w:styleId="Mriekatabuky">
    <w:name w:val="Table Grid"/>
    <w:basedOn w:val="Normlnatabuka"/>
    <w:uiPriority w:val="39"/>
    <w:rsid w:val="00CF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64281E"/>
    <w:rPr>
      <w:b/>
      <w:bCs/>
    </w:rPr>
  </w:style>
  <w:style w:type="character" w:customStyle="1" w:styleId="PredmetkomentraChar">
    <w:name w:val="Predmet komentára Char"/>
    <w:basedOn w:val="TextkomentraChar"/>
    <w:link w:val="Predmetkomentra"/>
    <w:uiPriority w:val="99"/>
    <w:semiHidden/>
    <w:rsid w:val="0064281E"/>
    <w:rPr>
      <w:b/>
      <w:bCs/>
      <w:sz w:val="20"/>
      <w:szCs w:val="20"/>
    </w:rPr>
  </w:style>
  <w:style w:type="paragraph" w:customStyle="1" w:styleId="Default">
    <w:name w:val="Default"/>
    <w:qFormat/>
    <w:rsid w:val="00A0359E"/>
    <w:pPr>
      <w:autoSpaceDE w:val="0"/>
      <w:autoSpaceDN w:val="0"/>
      <w:adjustRightInd w:val="0"/>
      <w:spacing w:after="0" w:line="240" w:lineRule="auto"/>
    </w:pPr>
    <w:rPr>
      <w:rFonts w:ascii="Times New Roman" w:hAnsi="Times New Roman" w:cs="Times New Roman"/>
      <w:color w:val="000000"/>
      <w:sz w:val="24"/>
      <w:szCs w:val="24"/>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rsid w:val="00F47901"/>
    <w:rPr>
      <w:rFonts w:ascii="Arial" w:hAnsi="Arial"/>
      <w:sz w:val="16"/>
      <w:vertAlign w:val="superscript"/>
    </w:rPr>
  </w:style>
  <w:style w:type="paragraph" w:styleId="Textpoznmkypodiarou">
    <w:name w:val="footnote text"/>
    <w:aliases w:val="Text poznámky pod čiarou 007,_Poznámka pod čiarou,Text poznámky pod eiarou 007,Text pozn. pod čarou,Text poznámky pod èiarou 007,Schriftart: 9 pt,Schriftart: 10 pt,Schriftart: 8 pt,Schriftart: 8 pt Char Char Char,o,Car,Char4,Cha"/>
    <w:basedOn w:val="Normlny"/>
    <w:link w:val="TextpoznmkypodiarouChar"/>
    <w:uiPriority w:val="99"/>
    <w:qFormat/>
    <w:rsid w:val="00F47901"/>
    <w:pPr>
      <w:spacing w:after="0" w:line="240" w:lineRule="auto"/>
    </w:pPr>
    <w:rPr>
      <w:rFonts w:ascii="Arial" w:eastAsia="Times New Roman" w:hAnsi="Arial" w:cs="Times New Roman"/>
      <w:sz w:val="16"/>
      <w:szCs w:val="20"/>
    </w:rPr>
  </w:style>
  <w:style w:type="character" w:customStyle="1" w:styleId="TextpoznmkypodiarouChar">
    <w:name w:val="Text poznámky pod čiarou Char"/>
    <w:aliases w:val="Text poznámky pod čiarou 007 Char,_Poznámka pod čiarou Char,Text poznámky pod eiarou 007 Char,Text pozn. pod čarou Char,Text poznámky pod èiarou 007 Char,Schriftart: 9 pt Char,Schriftart: 10 pt Char,Schriftart: 8 pt Char"/>
    <w:basedOn w:val="Predvolenpsmoodseku"/>
    <w:link w:val="Textpoznmkypodiarou"/>
    <w:uiPriority w:val="99"/>
    <w:qFormat/>
    <w:rsid w:val="00F47901"/>
    <w:rPr>
      <w:rFonts w:ascii="Arial" w:eastAsia="Times New Roman" w:hAnsi="Arial" w:cs="Times New Roman"/>
      <w:sz w:val="16"/>
      <w:szCs w:val="20"/>
    </w:rPr>
  </w:style>
  <w:style w:type="paragraph" w:customStyle="1" w:styleId="Char2">
    <w:name w:val="Char2"/>
    <w:basedOn w:val="Normlny"/>
    <w:link w:val="Odkaznapoznmkupodiarou"/>
    <w:uiPriority w:val="99"/>
    <w:rsid w:val="00F47901"/>
    <w:pPr>
      <w:spacing w:line="240" w:lineRule="exact"/>
    </w:pPr>
    <w:rPr>
      <w:rFonts w:ascii="Arial" w:hAnsi="Arial"/>
      <w:sz w:val="16"/>
      <w:vertAlign w:val="superscript"/>
    </w:rPr>
  </w:style>
  <w:style w:type="paragraph" w:styleId="Popis">
    <w:name w:val="caption"/>
    <w:basedOn w:val="Normlny"/>
    <w:next w:val="Normlny"/>
    <w:uiPriority w:val="99"/>
    <w:qFormat/>
    <w:rsid w:val="005303AE"/>
    <w:pPr>
      <w:spacing w:after="200" w:line="240" w:lineRule="auto"/>
    </w:pPr>
    <w:rPr>
      <w:rFonts w:ascii="Times New Roman" w:eastAsia="Times New Roman" w:hAnsi="Times New Roman" w:cs="Times New Roman"/>
      <w:b/>
      <w:bCs/>
      <w:color w:val="4F81BD"/>
      <w:sz w:val="18"/>
      <w:szCs w:val="18"/>
      <w:lang w:eastAsia="sk-SK"/>
    </w:rPr>
  </w:style>
  <w:style w:type="character" w:customStyle="1" w:styleId="Nadpis1Char">
    <w:name w:val="Nadpis 1 Char"/>
    <w:basedOn w:val="Predvolenpsmoodseku"/>
    <w:link w:val="Nadpis1"/>
    <w:uiPriority w:val="9"/>
    <w:rsid w:val="00145BAC"/>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145BAC"/>
  </w:style>
  <w:style w:type="paragraph" w:styleId="Hlavika">
    <w:name w:val="header"/>
    <w:basedOn w:val="Normlny"/>
    <w:link w:val="HlavikaChar"/>
    <w:uiPriority w:val="99"/>
    <w:unhideWhenUsed/>
    <w:rsid w:val="000801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0199"/>
  </w:style>
  <w:style w:type="paragraph" w:styleId="Pta">
    <w:name w:val="footer"/>
    <w:basedOn w:val="Normlny"/>
    <w:link w:val="PtaChar"/>
    <w:uiPriority w:val="99"/>
    <w:unhideWhenUsed/>
    <w:rsid w:val="00080199"/>
    <w:pPr>
      <w:tabs>
        <w:tab w:val="center" w:pos="4536"/>
        <w:tab w:val="right" w:pos="9072"/>
      </w:tabs>
      <w:spacing w:after="0" w:line="240" w:lineRule="auto"/>
    </w:pPr>
  </w:style>
  <w:style w:type="character" w:customStyle="1" w:styleId="PtaChar">
    <w:name w:val="Päta Char"/>
    <w:basedOn w:val="Predvolenpsmoodseku"/>
    <w:link w:val="Pta"/>
    <w:uiPriority w:val="99"/>
    <w:rsid w:val="0008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3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BACC-1C7F-45F4-B2F9-C0C4756A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3312</Words>
  <Characters>18883</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Štureková, Beáta</dc:creator>
  <cp:keywords/>
  <dc:description/>
  <cp:lastModifiedBy>Bartošová, Ráchel Mária</cp:lastModifiedBy>
  <cp:revision>2</cp:revision>
  <dcterms:created xsi:type="dcterms:W3CDTF">2024-02-05T13:38:00Z</dcterms:created>
  <dcterms:modified xsi:type="dcterms:W3CDTF">2024-02-05T13:38:00Z</dcterms:modified>
</cp:coreProperties>
</file>